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uto" w:line="285" w:before="0" w:after="480"/>
        <w:ind w:left="0" w:right="0" w:hanging="0"/>
        <w:jc w:val="left"/>
        <w:rPr/>
      </w:pPr>
      <w:hyperlink w:anchor="Toc">
        <w:bookmarkStart w:id="0" w:name="mtva-20260630x10q.htm"/>
        <w:bookmarkStart w:id="1" w:name="ksmtva20260630x10q"/>
        <w:bookmarkEnd w:id="0"/>
        <w:bookmarkEnd w:id="1"/>
        <w:r>
          <w:rPr>
            <w:rStyle w:val="InternetLink"/>
            <w:rFonts w:ascii="Times New Roman;Times;serif" w:hAnsi="Times New Roman;Times;serif"/>
            <w:b w:val="false"/>
            <w:i w:val="false"/>
            <w:caps w:val="false"/>
            <w:smallCaps w:val="false"/>
            <w:sz w:val="20"/>
          </w:rPr>
          <w:t>Table of Contents</w:t>
        </w:r>
      </w:hyperlink>
      <w:r>
        <w:rPr>
          <w:rFonts w:ascii="Times New Roman;Times;serif" w:hAnsi="Times New Roman;Times;serif"/>
          <w:color w:val="0563C1"/>
          <w:sz w:val="20"/>
        </w:rPr>
        <w:t xml:space="preserve"> </w:t>
      </w:r>
    </w:p>
    <w:p>
      <w:pPr>
        <w:pStyle w:val="TextBody"/>
        <w:pBdr>
          <w:top w:val="single" w:sz="24" w:space="1" w:color="000000"/>
        </w:pBdr>
        <w:bidi w:val="0"/>
        <w:spacing w:lineRule="auto" w:line="285" w:before="0" w:after="0"/>
        <w:ind w:left="0" w:right="0" w:hanging="0"/>
        <w:jc w:val="center"/>
        <w:rPr/>
      </w:pPr>
      <w:r>
        <w:rPr/>
        <w:t>​</w:t>
      </w:r>
    </w:p>
    <w:p>
      <w:pPr>
        <w:pStyle w:val="TextBody"/>
        <w:pBdr>
          <w:top w:val="single" w:sz="8" w:space="1" w:color="000000"/>
        </w:pBdr>
        <w:bidi w:val="0"/>
        <w:spacing w:lineRule="auto" w:line="285" w:before="0" w:after="0"/>
        <w:ind w:left="0" w:right="0" w:hanging="0"/>
        <w:jc w:val="center"/>
        <w:rPr/>
      </w:pPr>
      <w:r>
        <w:rPr/>
        <w:t>​</w:t>
      </w:r>
    </w:p>
    <w:p>
      <w:pPr>
        <w:pStyle w:val="TextBody"/>
        <w:bidi w:val="0"/>
        <w:spacing w:lineRule="auto" w:line="285" w:before="0" w:after="0"/>
        <w:ind w:left="0" w:right="0" w:hanging="0"/>
        <w:jc w:val="center"/>
        <w:rPr>
          <w:rFonts w:ascii="Times New Roman;Times;serif" w:hAnsi="Times New Roman;Times;serif"/>
          <w:b/>
          <w:sz w:val="18"/>
        </w:rPr>
      </w:pPr>
      <w:bookmarkStart w:id="2" w:name="_e1d69b17_a0d3_4843_89dc_04c73aafbf0b"/>
      <w:bookmarkEnd w:id="2"/>
      <w:r>
        <w:rPr>
          <w:rFonts w:ascii="Times New Roman;Times;serif" w:hAnsi="Times New Roman;Times;serif"/>
          <w:b/>
          <w:sz w:val="18"/>
        </w:rPr>
        <w:t>UNITED STATES</w:t>
      </w:r>
    </w:p>
    <w:p>
      <w:pPr>
        <w:pStyle w:val="TextBody"/>
        <w:bidi w:val="0"/>
        <w:spacing w:lineRule="auto" w:line="285" w:before="0" w:after="0"/>
        <w:ind w:left="0" w:right="0" w:hanging="0"/>
        <w:jc w:val="center"/>
        <w:rPr>
          <w:rFonts w:ascii="Times New Roman;Times;serif" w:hAnsi="Times New Roman;Times;serif"/>
          <w:b/>
          <w:sz w:val="18"/>
        </w:rPr>
      </w:pPr>
      <w:r>
        <w:rPr>
          <w:rFonts w:ascii="Times New Roman;Times;serif" w:hAnsi="Times New Roman;Times;serif"/>
          <w:b/>
          <w:sz w:val="18"/>
        </w:rPr>
        <w:t>SECURITIES AND EXCHANGE COMMISSION</w:t>
      </w:r>
    </w:p>
    <w:p>
      <w:pPr>
        <w:pStyle w:val="TextBody"/>
        <w:bidi w:val="0"/>
        <w:spacing w:lineRule="auto" w:line="285" w:before="0" w:after="0"/>
        <w:ind w:left="0" w:right="0" w:hanging="0"/>
        <w:jc w:val="center"/>
        <w:rPr>
          <w:rFonts w:ascii="Times New Roman;Times;serif" w:hAnsi="Times New Roman;Times;serif"/>
          <w:b/>
          <w:sz w:val="18"/>
        </w:rPr>
      </w:pPr>
      <w:r>
        <w:rPr>
          <w:rFonts w:ascii="Times New Roman;Times;serif" w:hAnsi="Times New Roman;Times;serif"/>
          <w:b/>
          <w:sz w:val="18"/>
        </w:rPr>
        <w:t>Washington, DC 20549</w:t>
      </w:r>
    </w:p>
    <w:p>
      <w:pPr>
        <w:pStyle w:val="TextBody"/>
        <w:bidi w:val="0"/>
        <w:spacing w:lineRule="auto" w:line="285" w:before="0" w:after="0"/>
        <w:ind w:left="0" w:right="0" w:hanging="0"/>
        <w:jc w:val="center"/>
        <w:rPr/>
      </w:pPr>
      <w:r>
        <w:rPr/>
        <w:t>​</w:t>
      </w:r>
    </w:p>
    <w:p>
      <w:pPr>
        <w:pStyle w:val="TextBody"/>
        <w:bidi w:val="0"/>
        <w:spacing w:lineRule="auto" w:line="285" w:before="0" w:after="0"/>
        <w:ind w:left="0" w:right="0" w:hanging="0"/>
        <w:jc w:val="center"/>
        <w:rPr>
          <w:rFonts w:ascii="Times New Roman;Times;serif" w:hAnsi="Times New Roman;Times;serif"/>
          <w:b/>
          <w:sz w:val="18"/>
        </w:rPr>
      </w:pPr>
      <w:r>
        <w:rPr>
          <w:rFonts w:ascii="Times New Roman;Times;serif" w:hAnsi="Times New Roman;Times;serif"/>
          <w:b/>
          <w:sz w:val="18"/>
        </w:rPr>
        <w:t>Form 10-Q</w:t>
      </w:r>
    </w:p>
    <w:p>
      <w:pPr>
        <w:pStyle w:val="TextBody"/>
        <w:bidi w:val="0"/>
        <w:spacing w:lineRule="auto" w:line="285" w:before="0" w:after="0"/>
        <w:ind w:left="0" w:right="0" w:hanging="0"/>
        <w:jc w:val="both"/>
        <w:rPr>
          <w:rFonts w:ascii="Times New Roman;Times;serif" w:hAnsi="Times New Roman;Times;serif"/>
          <w:b/>
          <w:sz w:val="18"/>
        </w:rPr>
      </w:pPr>
      <w:r>
        <w:rPr>
          <w:rFonts w:ascii="Times New Roman;Times;serif" w:hAnsi="Times New Roman;Times;serif"/>
          <w:b/>
          <w:sz w:val="18"/>
        </w:rPr>
        <w:t>(Mark One)</w:t>
      </w:r>
    </w:p>
    <w:p>
      <w:pPr>
        <w:pStyle w:val="TextBody"/>
        <w:bidi w:val="0"/>
        <w:spacing w:lineRule="auto" w:line="285" w:before="0" w:after="0"/>
        <w:ind w:left="0" w:right="0" w:hanging="0"/>
        <w:jc w:val="both"/>
        <w:rPr/>
      </w:pPr>
      <w:r>
        <w:rPr/>
        <w:t>​</w:t>
      </w:r>
    </w:p>
    <w:p>
      <w:pPr>
        <w:pStyle w:val="Normal"/>
        <w:bidi w:val="0"/>
        <w:spacing w:before="0" w:after="0"/>
        <w:jc w:val="left"/>
        <w:rPr>
          <w:sz w:val="4"/>
          <w:szCs w:val="4"/>
        </w:rPr>
      </w:pPr>
      <w:r>
        <w:rPr>
          <w:sz w:val="4"/>
          <w:szCs w:val="4"/>
        </w:rPr>
      </w:r>
      <w:bookmarkStart w:id="3" w:name="Tc_FYMZOTdo5E2Iubr9LM8m2Q_2_1"/>
      <w:bookmarkStart w:id="4" w:name="Tc_zjEDWla0HEyG4rRm1-jGbg_1_1"/>
      <w:bookmarkStart w:id="5" w:name="_f6f87ffb_eac7_41c5_8b38_c4dcb968297c"/>
      <w:bookmarkStart w:id="6" w:name="Tc_FYMZOTdo5E2Iubr9LM8m2Q_2_1"/>
      <w:bookmarkStart w:id="7" w:name="Tc_zjEDWla0HEyG4rRm1-jGbg_1_1"/>
      <w:bookmarkStart w:id="8" w:name="_f6f87ffb_eac7_41c5_8b38_c4dcb968297c"/>
      <w:bookmarkEnd w:id="6"/>
      <w:bookmarkEnd w:id="7"/>
      <w:bookmarkEnd w:id="8"/>
    </w:p>
    <w:tbl>
      <w:tblPr>
        <w:tblW w:w="9272" w:type="dxa"/>
        <w:jc w:val="left"/>
        <w:tblInd w:w="0" w:type="dxa"/>
        <w:tblLayout w:type="fixed"/>
        <w:tblCellMar>
          <w:top w:w="0" w:type="dxa"/>
          <w:left w:w="0" w:type="dxa"/>
          <w:bottom w:w="0" w:type="dxa"/>
          <w:right w:w="0" w:type="dxa"/>
        </w:tblCellMar>
      </w:tblPr>
      <w:tblGrid>
        <w:gridCol w:w="331"/>
        <w:gridCol w:w="8941"/>
      </w:tblGrid>
      <w:tr>
        <w:trPr/>
        <w:tc>
          <w:tcPr>
            <w:tcW w:w="3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210185" cy="175260"/>
                      <wp:effectExtent l="0" t="0" r="0" b="0"/>
                      <wp:wrapNone/>
                      <wp:docPr id="1" name="Frame1"/>
                      <a:graphic xmlns:a="http://schemas.openxmlformats.org/drawingml/2006/main">
                        <a:graphicData uri="http://schemas.microsoft.com/office/word/2010/wordprocessingShape">
                          <wps:wsp>
                            <wps:cNvSpPr txBox="1"/>
                            <wps:spPr>
                              <a:xfrm>
                                <a:off x="0" y="0"/>
                                <a:ext cx="2101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89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5677535" cy="175260"/>
                      <wp:effectExtent l="0" t="0" r="0" b="0"/>
                      <wp:wrapNone/>
                      <wp:docPr id="2" name="Frame2"/>
                      <a:graphic xmlns:a="http://schemas.openxmlformats.org/drawingml/2006/main">
                        <a:graphicData uri="http://schemas.microsoft.com/office/word/2010/wordprocessingShape">
                          <wps:wsp>
                            <wps:cNvSpPr txBox="1"/>
                            <wps:spPr>
                              <a:xfrm>
                                <a:off x="0" y="0"/>
                                <a:ext cx="567753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r>
      <w:tr>
        <w:trPr/>
        <w:tc>
          <w:tcPr>
            <w:tcW w:w="331" w:type="dxa"/>
            <w:tcBorders/>
            <w:vAlign w:val="center"/>
          </w:tcPr>
          <w:p>
            <w:pPr>
              <w:pStyle w:val="TableContents"/>
              <w:bidi w:val="0"/>
              <w:spacing w:before="0" w:after="0"/>
              <w:ind w:left="0" w:right="0" w:hanging="0"/>
              <w:jc w:val="center"/>
              <w:rPr/>
            </w:pPr>
            <w:r>
              <w:rPr/>
              <w:t>☒</w:t>
            </w:r>
          </w:p>
        </w:tc>
        <w:tc>
          <w:tcPr>
            <w:tcW w:w="894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QUARTERLY REPORT PURSUANT TO SECTION 13 OR 15(d) OF THE SECURITIES EXCHANGE ACT OF 1934</w:t>
            </w:r>
          </w:p>
        </w:tc>
      </w:tr>
      <w:tr>
        <w:trPr/>
        <w:tc>
          <w:tcPr>
            <w:tcW w:w="3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210185" cy="175260"/>
                      <wp:effectExtent l="0" t="0" r="0" b="0"/>
                      <wp:wrapNone/>
                      <wp:docPr id="3" name="Frame3"/>
                      <a:graphic xmlns:a="http://schemas.openxmlformats.org/drawingml/2006/main">
                        <a:graphicData uri="http://schemas.microsoft.com/office/word/2010/wordprocessingShape">
                          <wps:wsp>
                            <wps:cNvSpPr txBox="1"/>
                            <wps:spPr>
                              <a:xfrm>
                                <a:off x="0" y="0"/>
                                <a:ext cx="210185" cy="175260"/>
                              </a:xfrm>
                              <a:prstGeom prst="rect"/>
                              <a:solidFill>
                                <a:srgbClr val="FFFFFF"/>
                              </a:solidFill>
                            </wps:spPr>
                            <wps:txbx>
                              <w:txbxContent>
                                <w:p>
                                  <w:pPr>
                                    <w:pStyle w:val="TableContents"/>
                                    <w:bidi w:val="0"/>
                                    <w:spacing w:lineRule="auto" w:line="285" w:before="0" w:after="0"/>
                                    <w:ind w:left="0" w:right="0" w:hanging="0"/>
                                    <w:jc w:val="center"/>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center"/>
                              <w:rPr/>
                            </w:pPr>
                            <w:r>
                              <w:rPr/>
                              <w:t>​</w:t>
                            </w:r>
                          </w:p>
                        </w:txbxContent>
                      </v:textbox>
                      <w10:wrap type="none"/>
                    </v:rect>
                  </w:pict>
                </mc:Fallback>
              </mc:AlternateContent>
            </w:r>
          </w:p>
        </w:tc>
        <w:tc>
          <w:tcPr>
            <w:tcW w:w="8941" w:type="dxa"/>
            <w:tcBorders/>
            <w:vAlign w:val="center"/>
          </w:tcPr>
          <w:p>
            <w:pPr>
              <w:pStyle w:val="TableContents"/>
              <w:bidi w:val="0"/>
              <w:spacing w:before="0" w:after="283"/>
              <w:jc w:val="left"/>
              <w:rPr>
                <w:sz w:val="4"/>
                <w:szCs w:val="4"/>
              </w:rPr>
            </w:pPr>
            <w:r>
              <w:rPr>
                <w:sz w:val="4"/>
                <w:szCs w:val="4"/>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5677535" cy="131445"/>
                      <wp:effectExtent l="0" t="0" r="0" b="0"/>
                      <wp:wrapNone/>
                      <wp:docPr id="4" name="Frame4"/>
                      <a:graphic xmlns:a="http://schemas.openxmlformats.org/drawingml/2006/main">
                        <a:graphicData uri="http://schemas.microsoft.com/office/word/2010/wordprocessingShape">
                          <wps:wsp>
                            <wps:cNvSpPr txBox="1"/>
                            <wps:spPr>
                              <a:xfrm>
                                <a:off x="0" y="0"/>
                                <a:ext cx="5677535" cy="131445"/>
                              </a:xfrm>
                              <a:prstGeom prst="rect"/>
                              <a:solidFill>
                                <a:srgbClr val="FFFFFF"/>
                              </a:solidFill>
                            </wps:spPr>
                            <wps:txbx>
                              <w:txbxContent>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For the quarterly period ended June 30, 2026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7.0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For the quarterly period ended June 30, 2026</w:t>
                            </w:r>
                          </w:p>
                        </w:txbxContent>
                      </v:textbox>
                      <w10:wrap type="none"/>
                    </v:rect>
                  </w:pict>
                </mc:Fallback>
              </mc:AlternateContent>
            </w:r>
          </w:p>
        </w:tc>
      </w:tr>
    </w:tbl>
    <w:p>
      <w:pPr>
        <w:pStyle w:val="TextBody"/>
        <w:bidi w:val="0"/>
        <w:spacing w:lineRule="auto" w:line="285" w:before="0" w:after="0"/>
        <w:ind w:left="0" w:right="0" w:hanging="0"/>
        <w:jc w:val="center"/>
        <w:rPr>
          <w:rFonts w:ascii="Times New Roman;Times;serif" w:hAnsi="Times New Roman;Times;serif"/>
          <w:b/>
          <w:sz w:val="2"/>
        </w:rPr>
      </w:pPr>
      <w:r>
        <w:rPr>
          <w:rFonts w:ascii="Times New Roman;Times;serif" w:hAnsi="Times New Roman;Times;serif"/>
          <w:b/>
          <w:sz w:val="2"/>
        </w:rPr>
        <w:t>6</w:t>
      </w:r>
    </w:p>
    <w:p>
      <w:pPr>
        <w:pStyle w:val="TextBody"/>
        <w:bidi w:val="0"/>
        <w:spacing w:lineRule="auto" w:line="285" w:before="120" w:after="120"/>
        <w:ind w:left="0" w:right="0" w:hanging="0"/>
        <w:jc w:val="center"/>
        <w:rPr>
          <w:rFonts w:ascii="Times New Roman;Times;serif" w:hAnsi="Times New Roman;Times;serif"/>
          <w:b/>
          <w:sz w:val="18"/>
        </w:rPr>
      </w:pPr>
      <w:r>
        <w:rPr>
          <w:rFonts w:ascii="Times New Roman;Times;serif" w:hAnsi="Times New Roman;Times;serif"/>
          <w:b/>
          <w:sz w:val="18"/>
        </w:rPr>
        <w:t>OR</w:t>
      </w:r>
    </w:p>
    <w:p>
      <w:pPr>
        <w:pStyle w:val="Normal"/>
        <w:bidi w:val="0"/>
        <w:spacing w:before="0" w:after="0"/>
        <w:jc w:val="left"/>
        <w:rPr>
          <w:sz w:val="4"/>
          <w:szCs w:val="4"/>
        </w:rPr>
      </w:pPr>
      <w:r>
        <w:rPr>
          <w:sz w:val="4"/>
          <w:szCs w:val="4"/>
        </w:rPr>
      </w:r>
      <w:bookmarkStart w:id="9" w:name="Tc_OEry9j3wu0y9RFpVpeOpYA_2_1"/>
      <w:bookmarkStart w:id="10" w:name="Tc_9aQLf8f9JkuG2g1Z87WbUg_1_1"/>
      <w:bookmarkStart w:id="11" w:name="_989cf24b_1d20_46c5_8658_d2cb3d3cf9fa"/>
      <w:bookmarkStart w:id="12" w:name="Tc_OEry9j3wu0y9RFpVpeOpYA_2_1"/>
      <w:bookmarkStart w:id="13" w:name="Tc_9aQLf8f9JkuG2g1Z87WbUg_1_1"/>
      <w:bookmarkStart w:id="14" w:name="_989cf24b_1d20_46c5_8658_d2cb3d3cf9fa"/>
      <w:bookmarkEnd w:id="12"/>
      <w:bookmarkEnd w:id="13"/>
      <w:bookmarkEnd w:id="14"/>
    </w:p>
    <w:tbl>
      <w:tblPr>
        <w:tblW w:w="9272" w:type="dxa"/>
        <w:jc w:val="left"/>
        <w:tblInd w:w="0" w:type="dxa"/>
        <w:tblLayout w:type="fixed"/>
        <w:tblCellMar>
          <w:top w:w="0" w:type="dxa"/>
          <w:left w:w="0" w:type="dxa"/>
          <w:bottom w:w="0" w:type="dxa"/>
          <w:right w:w="0" w:type="dxa"/>
        </w:tblCellMar>
      </w:tblPr>
      <w:tblGrid>
        <w:gridCol w:w="331"/>
        <w:gridCol w:w="8941"/>
      </w:tblGrid>
      <w:tr>
        <w:trPr/>
        <w:tc>
          <w:tcPr>
            <w:tcW w:w="3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210185" cy="175260"/>
                      <wp:effectExtent l="0" t="0" r="0" b="0"/>
                      <wp:wrapNone/>
                      <wp:docPr id="5" name="Frame5"/>
                      <a:graphic xmlns:a="http://schemas.openxmlformats.org/drawingml/2006/main">
                        <a:graphicData uri="http://schemas.microsoft.com/office/word/2010/wordprocessingShape">
                          <wps:wsp>
                            <wps:cNvSpPr txBox="1"/>
                            <wps:spPr>
                              <a:xfrm>
                                <a:off x="0" y="0"/>
                                <a:ext cx="2101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89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5677535" cy="175260"/>
                      <wp:effectExtent l="0" t="0" r="0" b="0"/>
                      <wp:wrapNone/>
                      <wp:docPr id="6" name="Frame6"/>
                      <a:graphic xmlns:a="http://schemas.openxmlformats.org/drawingml/2006/main">
                        <a:graphicData uri="http://schemas.microsoft.com/office/word/2010/wordprocessingShape">
                          <wps:wsp>
                            <wps:cNvSpPr txBox="1"/>
                            <wps:spPr>
                              <a:xfrm>
                                <a:off x="0" y="0"/>
                                <a:ext cx="567753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r>
      <w:tr>
        <w:trPr/>
        <w:tc>
          <w:tcPr>
            <w:tcW w:w="331" w:type="dxa"/>
            <w:tcBorders/>
            <w:vAlign w:val="center"/>
          </w:tcPr>
          <w:p>
            <w:pPr>
              <w:pStyle w:val="TableContents"/>
              <w:bidi w:val="0"/>
              <w:spacing w:before="0" w:after="0"/>
              <w:ind w:left="0" w:right="0" w:hanging="0"/>
              <w:jc w:val="center"/>
              <w:rPr/>
            </w:pPr>
            <w:r>
              <w:rPr/>
              <w:t>☐</w:t>
            </w:r>
          </w:p>
        </w:tc>
        <w:tc>
          <w:tcPr>
            <w:tcW w:w="894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TRANSITION REPORT PURSUANT TO SECTION 13 OR 15(d) OF THE SECURITIES EXCHANGE ACT OF 1934</w:t>
            </w:r>
          </w:p>
        </w:tc>
      </w:tr>
      <w:tr>
        <w:trPr/>
        <w:tc>
          <w:tcPr>
            <w:tcW w:w="3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210185" cy="175260"/>
                      <wp:effectExtent l="0" t="0" r="0" b="0"/>
                      <wp:wrapNone/>
                      <wp:docPr id="7" name="Frame7"/>
                      <a:graphic xmlns:a="http://schemas.openxmlformats.org/drawingml/2006/main">
                        <a:graphicData uri="http://schemas.microsoft.com/office/word/2010/wordprocessingShape">
                          <wps:wsp>
                            <wps:cNvSpPr txBox="1"/>
                            <wps:spPr>
                              <a:xfrm>
                                <a:off x="0" y="0"/>
                                <a:ext cx="210185" cy="175260"/>
                              </a:xfrm>
                              <a:prstGeom prst="rect"/>
                              <a:solidFill>
                                <a:srgbClr val="FFFFFF"/>
                              </a:solidFill>
                            </wps:spPr>
                            <wps:txbx>
                              <w:txbxContent>
                                <w:p>
                                  <w:pPr>
                                    <w:pStyle w:val="TableContents"/>
                                    <w:bidi w:val="0"/>
                                    <w:spacing w:lineRule="auto" w:line="285" w:before="0" w:after="0"/>
                                    <w:ind w:left="0" w:right="0" w:hanging="0"/>
                                    <w:jc w:val="center"/>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center"/>
                              <w:rPr/>
                            </w:pPr>
                            <w:r>
                              <w:rPr/>
                              <w:t>​</w:t>
                            </w:r>
                          </w:p>
                        </w:txbxContent>
                      </v:textbox>
                      <w10:wrap type="none"/>
                    </v:rect>
                  </w:pict>
                </mc:Fallback>
              </mc:AlternateContent>
            </w:r>
          </w:p>
        </w:tc>
        <w:tc>
          <w:tcPr>
            <w:tcW w:w="8941" w:type="dxa"/>
            <w:tcBorders/>
            <w:vAlign w:val="center"/>
          </w:tcPr>
          <w:p>
            <w:pPr>
              <w:pStyle w:val="TableContents"/>
              <w:bidi w:val="0"/>
              <w:spacing w:before="0" w:after="283"/>
              <w:jc w:val="left"/>
              <w:rPr>
                <w:sz w:val="4"/>
                <w:szCs w:val="4"/>
              </w:rPr>
            </w:pPr>
            <w:r>
              <w:rPr>
                <w:sz w:val="4"/>
                <w:szCs w:val="4"/>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5677535" cy="131445"/>
                      <wp:effectExtent l="0" t="0" r="0" b="0"/>
                      <wp:wrapNone/>
                      <wp:docPr id="8" name="Frame8"/>
                      <a:graphic xmlns:a="http://schemas.openxmlformats.org/drawingml/2006/main">
                        <a:graphicData uri="http://schemas.microsoft.com/office/word/2010/wordprocessingShape">
                          <wps:wsp>
                            <wps:cNvSpPr txBox="1"/>
                            <wps:spPr>
                              <a:xfrm>
                                <a:off x="0" y="0"/>
                                <a:ext cx="5677535" cy="131445"/>
                              </a:xfrm>
                              <a:prstGeom prst="rect"/>
                              <a:solidFill>
                                <a:srgbClr val="FFFFFF"/>
                              </a:solidFill>
                            </wps:spPr>
                            <wps:txbx>
                              <w:txbxContent>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For the transition period from          to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7.0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For the transition period from          to          </w:t>
                            </w:r>
                          </w:p>
                        </w:txbxContent>
                      </v:textbox>
                      <w10:wrap type="none"/>
                    </v:rect>
                  </w:pict>
                </mc:Fallback>
              </mc:AlternateContent>
            </w:r>
          </w:p>
        </w:tc>
      </w:tr>
    </w:tbl>
    <w:p>
      <w:pPr>
        <w:pStyle w:val="TextBody"/>
        <w:bidi w:val="0"/>
        <w:spacing w:lineRule="auto" w:line="285"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Commission file number 001-37809</w:t>
      </w:r>
    </w:p>
    <w:p>
      <w:pPr>
        <w:pStyle w:val="TextBody"/>
        <w:bidi w:val="0"/>
        <w:spacing w:before="0" w:after="0"/>
        <w:ind w:left="0" w:right="0" w:hanging="0"/>
        <w:jc w:val="center"/>
        <w:rPr/>
      </w:pPr>
      <w:r>
        <w:rPr/>
        <w:drawing>
          <wp:inline distT="0" distB="0" distL="0" distR="0">
            <wp:extent cx="2724785" cy="520700"/>
            <wp:effectExtent l="0" t="0" r="0" b="0"/>
            <wp:docPr id="9"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1" descr=""/>
                    <pic:cNvPicPr>
                      <a:picLocks noChangeAspect="1" noChangeArrowheads="1"/>
                    </pic:cNvPicPr>
                  </pic:nvPicPr>
                  <pic:blipFill>
                    <a:blip r:embed="rId2"/>
                    <a:stretch>
                      <a:fillRect/>
                    </a:stretch>
                  </pic:blipFill>
                  <pic:spPr bwMode="auto">
                    <a:xfrm>
                      <a:off x="0" y="0"/>
                      <a:ext cx="2724785" cy="520700"/>
                    </a:xfrm>
                    <a:prstGeom prst="rect">
                      <a:avLst/>
                    </a:prstGeom>
                  </pic:spPr>
                </pic:pic>
              </a:graphicData>
            </a:graphic>
          </wp:inline>
        </w:drawing>
      </w:r>
    </w:p>
    <w:p>
      <w:pPr>
        <w:pStyle w:val="TextBody"/>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METAVIA INC.</w:t>
      </w:r>
    </w:p>
    <w:p>
      <w:pPr>
        <w:pStyle w:val="TextBody"/>
        <w:bidi w:val="0"/>
        <w:spacing w:lineRule="auto" w:line="285" w:before="0" w:after="0"/>
        <w:ind w:left="0" w:right="0" w:hanging="0"/>
        <w:jc w:val="center"/>
        <w:rPr>
          <w:rFonts w:ascii="Times New Roman;Times;serif" w:hAnsi="Times New Roman;Times;serif"/>
          <w:sz w:val="18"/>
        </w:rPr>
      </w:pPr>
      <w:r>
        <w:rPr>
          <w:rFonts w:ascii="Times New Roman;Times;serif" w:hAnsi="Times New Roman;Times;serif"/>
          <w:sz w:val="18"/>
        </w:rPr>
        <w:t>(Exact name of Registrant as specified in its charter)</w:t>
      </w:r>
    </w:p>
    <w:p>
      <w:pPr>
        <w:pStyle w:val="TextBody"/>
        <w:bidi w:val="0"/>
        <w:spacing w:lineRule="auto" w:line="285" w:before="0" w:after="0"/>
        <w:ind w:left="0" w:right="0" w:hanging="0"/>
        <w:jc w:val="center"/>
        <w:rPr/>
      </w:pPr>
      <w:r>
        <w:rPr/>
        <w:t>​</w:t>
      </w:r>
    </w:p>
    <w:p>
      <w:pPr>
        <w:pStyle w:val="Normal"/>
        <w:bidi w:val="0"/>
        <w:spacing w:before="0" w:after="0"/>
        <w:jc w:val="left"/>
        <w:rPr>
          <w:sz w:val="4"/>
          <w:szCs w:val="4"/>
        </w:rPr>
      </w:pPr>
      <w:r>
        <w:rPr>
          <w:sz w:val="4"/>
          <w:szCs w:val="4"/>
        </w:rPr>
      </w:r>
      <w:bookmarkStart w:id="15" w:name="Tc_7QJ3Zkto7USzQ398HykRyg_5_2"/>
      <w:bookmarkStart w:id="16" w:name="Tc_3NJSxPCZJkKxx4MXZDTtMg_5_0"/>
      <w:bookmarkStart w:id="17" w:name="Tc_vrDcCJOkIkK8tXfbDUAD0Q_4_0"/>
      <w:bookmarkStart w:id="18" w:name="Tc_lHmdzj_JAkGZZCB6mDoqGA_2_2"/>
      <w:bookmarkStart w:id="19" w:name="Tc_2o3ct8S8jEmnvWxWM6Yp1Q_2_0"/>
      <w:bookmarkStart w:id="20" w:name="_dd5c7303_a800_4878_b6a0_c69acf011de6"/>
      <w:bookmarkStart w:id="21" w:name="Tc_7QJ3Zkto7USzQ398HykRyg_5_2"/>
      <w:bookmarkStart w:id="22" w:name="Tc_3NJSxPCZJkKxx4MXZDTtMg_5_0"/>
      <w:bookmarkStart w:id="23" w:name="Tc_vrDcCJOkIkK8tXfbDUAD0Q_4_0"/>
      <w:bookmarkStart w:id="24" w:name="Tc_lHmdzj_JAkGZZCB6mDoqGA_2_2"/>
      <w:bookmarkStart w:id="25" w:name="Tc_2o3ct8S8jEmnvWxWM6Yp1Q_2_0"/>
      <w:bookmarkStart w:id="26" w:name="_dd5c7303_a800_4878_b6a0_c69acf011de6"/>
      <w:bookmarkEnd w:id="21"/>
      <w:bookmarkEnd w:id="22"/>
      <w:bookmarkEnd w:id="23"/>
      <w:bookmarkEnd w:id="24"/>
      <w:bookmarkEnd w:id="25"/>
      <w:bookmarkEnd w:id="26"/>
    </w:p>
    <w:tbl>
      <w:tblPr>
        <w:tblW w:w="7011" w:type="dxa"/>
        <w:jc w:val="left"/>
        <w:tblInd w:w="0" w:type="dxa"/>
        <w:tblLayout w:type="fixed"/>
        <w:tblCellMar>
          <w:top w:w="0" w:type="dxa"/>
          <w:left w:w="0" w:type="dxa"/>
          <w:bottom w:w="0" w:type="dxa"/>
          <w:right w:w="0" w:type="dxa"/>
        </w:tblCellMar>
      </w:tblPr>
      <w:tblGrid>
        <w:gridCol w:w="4321"/>
        <w:gridCol w:w="109"/>
        <w:gridCol w:w="2581"/>
      </w:tblGrid>
      <w:tr>
        <w:trPr/>
        <w:tc>
          <w:tcPr>
            <w:tcW w:w="43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2743835" cy="175260"/>
                      <wp:effectExtent l="0" t="0" r="0" b="0"/>
                      <wp:wrapNone/>
                      <wp:docPr id="10" name="Frame9"/>
                      <a:graphic xmlns:a="http://schemas.openxmlformats.org/drawingml/2006/main">
                        <a:graphicData uri="http://schemas.microsoft.com/office/word/2010/wordprocessingShape">
                          <wps:wsp>
                            <wps:cNvSpPr txBox="1"/>
                            <wps:spPr>
                              <a:xfrm>
                                <a:off x="0" y="0"/>
                                <a:ext cx="274383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9215" cy="175260"/>
                      <wp:effectExtent l="0" t="0" r="0" b="0"/>
                      <wp:wrapNone/>
                      <wp:docPr id="11" name="Frame1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5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1638935" cy="175260"/>
                      <wp:effectExtent l="0" t="0" r="0" b="0"/>
                      <wp:wrapNone/>
                      <wp:docPr id="12" name="Frame11"/>
                      <a:graphic xmlns:a="http://schemas.openxmlformats.org/drawingml/2006/main">
                        <a:graphicData uri="http://schemas.microsoft.com/office/word/2010/wordprocessingShape">
                          <wps:wsp>
                            <wps:cNvSpPr txBox="1"/>
                            <wps:spPr>
                              <a:xfrm>
                                <a:off x="0" y="0"/>
                                <a:ext cx="163893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r>
      <w:tr>
        <w:trPr/>
        <w:tc>
          <w:tcPr>
            <w:tcW w:w="4321" w:type="dxa"/>
            <w:tcBorders/>
            <w:vAlign w:val="center"/>
          </w:tcPr>
          <w:p>
            <w:pPr>
              <w:pStyle w:val="TableContents"/>
              <w:bidi w:val="0"/>
              <w:spacing w:lineRule="auto" w:line="285" w:before="0" w:after="0"/>
              <w:ind w:left="0" w:right="0" w:hanging="0"/>
              <w:jc w:val="center"/>
              <w:rPr>
                <w:rFonts w:ascii="Times New Roman;Times;serif" w:hAnsi="Times New Roman;Times;serif"/>
                <w:b/>
                <w:sz w:val="18"/>
              </w:rPr>
            </w:pPr>
            <w:r>
              <w:rPr>
                <w:rFonts w:ascii="Times New Roman;Times;serif" w:hAnsi="Times New Roman;Times;serif"/>
                <w:b/>
                <w:sz w:val="18"/>
              </w:rPr>
              <w:t>Delaware</w:t>
            </w:r>
          </w:p>
        </w:tc>
        <w:tc>
          <w:tcPr>
            <w:tcW w:w="109" w:type="dxa"/>
            <w:tcBorders/>
            <w:vAlign w:val="center"/>
          </w:tcPr>
          <w:p>
            <w:pPr>
              <w:pStyle w:val="TableContents"/>
              <w:bidi w:val="0"/>
              <w:spacing w:lineRule="auto" w:line="285" w:before="0" w:after="0"/>
              <w:ind w:left="0" w:right="0" w:hanging="0"/>
              <w:jc w:val="center"/>
              <w:rPr/>
            </w:pPr>
            <w:r>
              <w:rPr/>
              <w:t>​</w:t>
            </w:r>
          </w:p>
        </w:tc>
        <w:tc>
          <w:tcPr>
            <w:tcW w:w="2581" w:type="dxa"/>
            <w:tcBorders/>
            <w:vAlign w:val="center"/>
          </w:tcPr>
          <w:p>
            <w:pPr>
              <w:pStyle w:val="TableContents"/>
              <w:bidi w:val="0"/>
              <w:spacing w:lineRule="auto" w:line="285" w:before="0" w:after="0"/>
              <w:ind w:left="0" w:right="0" w:hanging="0"/>
              <w:jc w:val="center"/>
              <w:rPr>
                <w:rFonts w:ascii="Times New Roman;Times;serif" w:hAnsi="Times New Roman;Times;serif"/>
                <w:b/>
                <w:sz w:val="18"/>
              </w:rPr>
            </w:pPr>
            <w:r>
              <w:rPr>
                <w:rFonts w:ascii="Times New Roman;Times;serif" w:hAnsi="Times New Roman;Times;serif"/>
                <w:b/>
                <w:sz w:val="18"/>
              </w:rPr>
              <w:t>47-2389984</w:t>
            </w:r>
          </w:p>
        </w:tc>
      </w:tr>
      <w:tr>
        <w:trPr/>
        <w:tc>
          <w:tcPr>
            <w:tcW w:w="4321" w:type="dxa"/>
            <w:tcBorders/>
            <w:vAlign w:val="center"/>
          </w:tcPr>
          <w:p>
            <w:pPr>
              <w:pStyle w:val="TableContents"/>
              <w:bidi w:val="0"/>
              <w:spacing w:lineRule="auto" w:line="285" w:before="0" w:after="0"/>
              <w:ind w:left="0" w:right="0" w:hanging="0"/>
              <w:jc w:val="center"/>
              <w:rPr>
                <w:rFonts w:ascii="Times New Roman;Times;serif" w:hAnsi="Times New Roman;Times;serif"/>
                <w:sz w:val="18"/>
              </w:rPr>
            </w:pPr>
            <w:r>
              <w:rPr>
                <w:rFonts w:ascii="Times New Roman;Times;serif" w:hAnsi="Times New Roman;Times;serif"/>
                <w:sz w:val="18"/>
              </w:rPr>
              <w:t>(State or other jurisdiction of incorporation or organization)</w:t>
            </w:r>
          </w:p>
        </w:tc>
        <w:tc>
          <w:tcPr>
            <w:tcW w:w="109" w:type="dxa"/>
            <w:tcBorders/>
            <w:vAlign w:val="center"/>
          </w:tcPr>
          <w:p>
            <w:pPr>
              <w:pStyle w:val="TableContents"/>
              <w:bidi w:val="0"/>
              <w:spacing w:lineRule="auto" w:line="285" w:before="0" w:after="0"/>
              <w:ind w:left="0" w:right="0" w:hanging="0"/>
              <w:jc w:val="center"/>
              <w:rPr/>
            </w:pPr>
            <w:r>
              <w:rPr/>
              <w:t>​</w:t>
            </w:r>
          </w:p>
        </w:tc>
        <w:tc>
          <w:tcPr>
            <w:tcW w:w="2581" w:type="dxa"/>
            <w:tcBorders/>
            <w:vAlign w:val="center"/>
          </w:tcPr>
          <w:p>
            <w:pPr>
              <w:pStyle w:val="TableContents"/>
              <w:bidi w:val="0"/>
              <w:spacing w:lineRule="auto" w:line="285" w:before="0" w:after="0"/>
              <w:ind w:left="0" w:right="0" w:hanging="0"/>
              <w:jc w:val="center"/>
              <w:rPr>
                <w:rFonts w:ascii="Times New Roman;Times;serif" w:hAnsi="Times New Roman;Times;serif"/>
                <w:sz w:val="18"/>
              </w:rPr>
            </w:pPr>
            <w:r>
              <w:rPr>
                <w:rFonts w:ascii="Times New Roman;Times;serif" w:hAnsi="Times New Roman;Times;serif"/>
                <w:sz w:val="18"/>
              </w:rPr>
              <w:t>(IRS Employer Identification No.)</w:t>
            </w:r>
          </w:p>
        </w:tc>
      </w:tr>
      <w:tr>
        <w:trPr/>
        <w:tc>
          <w:tcPr>
            <w:tcW w:w="4321" w:type="dxa"/>
            <w:tcBorders/>
            <w:vAlign w:val="center"/>
          </w:tcPr>
          <w:p>
            <w:pPr>
              <w:pStyle w:val="TableContents"/>
              <w:bidi w:val="0"/>
              <w:spacing w:lineRule="auto" w:line="285" w:before="0" w:after="0"/>
              <w:ind w:left="0" w:right="0" w:hanging="0"/>
              <w:jc w:val="center"/>
              <w:rPr/>
            </w:pPr>
            <w:r>
              <w:rPr/>
              <w:t>​</w:t>
            </w:r>
          </w:p>
        </w:tc>
        <w:tc>
          <w:tcPr>
            <w:tcW w:w="109" w:type="dxa"/>
            <w:tcBorders/>
            <w:vAlign w:val="center"/>
          </w:tcPr>
          <w:p>
            <w:pPr>
              <w:pStyle w:val="TableContents"/>
              <w:bidi w:val="0"/>
              <w:spacing w:lineRule="auto" w:line="285" w:before="0" w:after="0"/>
              <w:ind w:left="0" w:right="0" w:hanging="0"/>
              <w:jc w:val="center"/>
              <w:rPr/>
            </w:pPr>
            <w:r>
              <w:rPr/>
              <w:t>​</w:t>
            </w:r>
          </w:p>
        </w:tc>
        <w:tc>
          <w:tcPr>
            <w:tcW w:w="2581" w:type="dxa"/>
            <w:tcBorders/>
            <w:vAlign w:val="center"/>
          </w:tcPr>
          <w:p>
            <w:pPr>
              <w:pStyle w:val="TableContents"/>
              <w:bidi w:val="0"/>
              <w:spacing w:lineRule="auto" w:line="285" w:before="0" w:after="0"/>
              <w:ind w:left="0" w:right="0" w:hanging="0"/>
              <w:jc w:val="center"/>
              <w:rPr/>
            </w:pPr>
            <w:r>
              <w:rPr/>
              <w:t>​</w:t>
            </w:r>
          </w:p>
        </w:tc>
      </w:tr>
      <w:tr>
        <w:trPr/>
        <w:tc>
          <w:tcPr>
            <w:tcW w:w="4321" w:type="dxa"/>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545 Concord Avenue, Suite 210</w:t>
            </w:r>
          </w:p>
          <w:p>
            <w:pPr>
              <w:pStyle w:val="TableContents"/>
              <w:bidi w:val="0"/>
              <w:spacing w:lineRule="auto" w:line="285" w:before="0" w:after="0"/>
              <w:ind w:left="0" w:right="0" w:hanging="0"/>
              <w:jc w:val="center"/>
              <w:rPr>
                <w:rFonts w:ascii="Times New Roman;Times;serif" w:hAnsi="Times New Roman;Times;serif"/>
                <w:b/>
                <w:sz w:val="18"/>
              </w:rPr>
            </w:pPr>
            <w:r>
              <w:rPr>
                <w:rFonts w:ascii="Times New Roman;Times;serif" w:hAnsi="Times New Roman;Times;serif"/>
                <w:b/>
                <w:sz w:val="18"/>
              </w:rPr>
              <w:t>Cambridge, Massachusetts</w:t>
            </w:r>
          </w:p>
        </w:tc>
        <w:tc>
          <w:tcPr>
            <w:tcW w:w="109" w:type="dxa"/>
            <w:tcBorders/>
            <w:vAlign w:val="center"/>
          </w:tcPr>
          <w:p>
            <w:pPr>
              <w:pStyle w:val="TableContents"/>
              <w:bidi w:val="0"/>
              <w:spacing w:lineRule="auto" w:line="285" w:before="0" w:after="0"/>
              <w:ind w:left="0" w:right="0" w:hanging="0"/>
              <w:jc w:val="center"/>
              <w:rPr/>
            </w:pPr>
            <w:r>
              <w:rPr/>
              <w:t>​</w:t>
            </w:r>
          </w:p>
        </w:tc>
        <w:tc>
          <w:tcPr>
            <w:tcW w:w="2581" w:type="dxa"/>
            <w:tcBorders/>
            <w:vAlign w:val="center"/>
          </w:tcPr>
          <w:p>
            <w:pPr>
              <w:pStyle w:val="TableContents"/>
              <w:bidi w:val="0"/>
              <w:spacing w:lineRule="auto" w:line="285" w:before="0" w:after="0"/>
              <w:ind w:left="0" w:right="0" w:hanging="0"/>
              <w:jc w:val="center"/>
              <w:rPr>
                <w:rFonts w:ascii="Times New Roman;Times;serif" w:hAnsi="Times New Roman;Times;serif"/>
                <w:b/>
                <w:sz w:val="18"/>
              </w:rPr>
            </w:pPr>
            <w:r>
              <w:rPr>
                <w:rFonts w:ascii="Times New Roman;Times;serif" w:hAnsi="Times New Roman;Times;serif"/>
                <w:b/>
                <w:sz w:val="18"/>
              </w:rPr>
              <w:t>02138</w:t>
            </w:r>
          </w:p>
        </w:tc>
      </w:tr>
      <w:tr>
        <w:trPr/>
        <w:tc>
          <w:tcPr>
            <w:tcW w:w="4321" w:type="dxa"/>
            <w:tcBorders/>
            <w:vAlign w:val="center"/>
          </w:tcPr>
          <w:p>
            <w:pPr>
              <w:pStyle w:val="TableContents"/>
              <w:bidi w:val="0"/>
              <w:spacing w:lineRule="auto" w:line="285" w:before="0" w:after="0"/>
              <w:ind w:left="0" w:right="0" w:hanging="0"/>
              <w:jc w:val="center"/>
              <w:rPr>
                <w:rFonts w:ascii="Times New Roman;Times;serif" w:hAnsi="Times New Roman;Times;serif"/>
                <w:sz w:val="18"/>
              </w:rPr>
            </w:pPr>
            <w:r>
              <w:rPr>
                <w:rFonts w:ascii="Times New Roman;Times;serif" w:hAnsi="Times New Roman;Times;serif"/>
                <w:sz w:val="18"/>
              </w:rPr>
              <w:t>(Address of principal executive offices)</w:t>
            </w:r>
          </w:p>
        </w:tc>
        <w:tc>
          <w:tcPr>
            <w:tcW w:w="109" w:type="dxa"/>
            <w:tcBorders/>
            <w:vAlign w:val="center"/>
          </w:tcPr>
          <w:p>
            <w:pPr>
              <w:pStyle w:val="TableContents"/>
              <w:bidi w:val="0"/>
              <w:spacing w:lineRule="auto" w:line="285" w:before="0" w:after="0"/>
              <w:ind w:left="0" w:right="0" w:hanging="0"/>
              <w:jc w:val="center"/>
              <w:rPr/>
            </w:pPr>
            <w:r>
              <w:rPr/>
              <w:t>​</w:t>
            </w:r>
          </w:p>
        </w:tc>
        <w:tc>
          <w:tcPr>
            <w:tcW w:w="2581" w:type="dxa"/>
            <w:tcBorders/>
            <w:vAlign w:val="center"/>
          </w:tcPr>
          <w:p>
            <w:pPr>
              <w:pStyle w:val="TableContents"/>
              <w:bidi w:val="0"/>
              <w:spacing w:lineRule="auto" w:line="285" w:before="0" w:after="0"/>
              <w:ind w:left="0" w:right="0" w:hanging="0"/>
              <w:jc w:val="center"/>
              <w:rPr>
                <w:rFonts w:ascii="Times New Roman;Times;serif" w:hAnsi="Times New Roman;Times;serif"/>
                <w:sz w:val="18"/>
              </w:rPr>
            </w:pPr>
            <w:r>
              <w:rPr>
                <w:rFonts w:ascii="Times New Roman;Times;serif" w:hAnsi="Times New Roman;Times;serif"/>
                <w:sz w:val="18"/>
              </w:rPr>
              <w:t>(Zip Code)</w:t>
            </w:r>
          </w:p>
        </w:tc>
      </w:tr>
    </w:tbl>
    <w:p>
      <w:pPr>
        <w:pStyle w:val="TextBody"/>
        <w:bidi w:val="0"/>
        <w:spacing w:lineRule="auto" w:line="285"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(857) 702-9600</w:t>
      </w:r>
    </w:p>
    <w:p>
      <w:pPr>
        <w:pStyle w:val="TextBody"/>
        <w:bidi w:val="0"/>
        <w:spacing w:lineRule="auto" w:line="285" w:before="0" w:after="0"/>
        <w:ind w:left="0" w:right="0" w:hanging="0"/>
        <w:jc w:val="center"/>
        <w:rPr>
          <w:rFonts w:ascii="Times New Roman;Times;serif" w:hAnsi="Times New Roman;Times;serif"/>
          <w:sz w:val="18"/>
        </w:rPr>
      </w:pPr>
      <w:r>
        <w:rPr>
          <w:rFonts w:ascii="Times New Roman;Times;serif" w:hAnsi="Times New Roman;Times;serif"/>
          <w:sz w:val="18"/>
        </w:rPr>
        <w:t>(Registrant’s telephone number, including area code)</w:t>
      </w:r>
    </w:p>
    <w:p>
      <w:pPr>
        <w:pStyle w:val="TextBody"/>
        <w:bidi w:val="0"/>
        <w:spacing w:lineRule="auto" w:line="285" w:before="0" w:after="0"/>
        <w:ind w:left="0" w:right="0" w:hanging="0"/>
        <w:jc w:val="center"/>
        <w:rPr/>
      </w:pPr>
      <w:r>
        <w:rPr/>
        <w:t>​</w:t>
      </w:r>
    </w:p>
    <w:p>
      <w:pPr>
        <w:pStyle w:val="TextBody"/>
        <w:bidi w:val="0"/>
        <w:spacing w:lineRule="auto" w:line="285" w:before="0" w:after="0"/>
        <w:ind w:left="0" w:right="0" w:hanging="0"/>
        <w:jc w:val="center"/>
        <w:rPr>
          <w:rFonts w:ascii="Times New Roman;Times;serif" w:hAnsi="Times New Roman;Times;serif"/>
          <w:b/>
          <w:sz w:val="18"/>
        </w:rPr>
      </w:pPr>
      <w:r>
        <w:rPr>
          <w:rFonts w:ascii="Times New Roman;Times;serif" w:hAnsi="Times New Roman;Times;serif"/>
          <w:b/>
          <w:sz w:val="18"/>
        </w:rPr>
        <w:t>Not applicable</w:t>
      </w:r>
    </w:p>
    <w:p>
      <w:pPr>
        <w:pStyle w:val="TextBody"/>
        <w:bidi w:val="0"/>
        <w:spacing w:lineRule="auto" w:line="285" w:before="0" w:after="0"/>
        <w:ind w:left="0" w:right="0" w:hanging="0"/>
        <w:jc w:val="center"/>
        <w:rPr>
          <w:rFonts w:ascii="Times New Roman;Times;serif" w:hAnsi="Times New Roman;Times;serif"/>
          <w:sz w:val="18"/>
        </w:rPr>
      </w:pPr>
      <w:r>
        <w:rPr>
          <w:rFonts w:ascii="Times New Roman;Times;serif" w:hAnsi="Times New Roman;Times;serif"/>
          <w:sz w:val="18"/>
        </w:rPr>
        <w:t>(Former name, former address and former fiscal year, if changed since last report)</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Securities registered pursuant to Section 12(b) of the Act:</w:t>
      </w:r>
    </w:p>
    <w:p>
      <w:pPr>
        <w:pStyle w:val="Normal"/>
        <w:bidi w:val="0"/>
        <w:spacing w:before="0" w:after="0"/>
        <w:jc w:val="left"/>
        <w:rPr>
          <w:sz w:val="4"/>
          <w:szCs w:val="4"/>
        </w:rPr>
      </w:pPr>
      <w:r>
        <w:rPr>
          <w:sz w:val="4"/>
          <w:szCs w:val="4"/>
        </w:rPr>
      </w:r>
      <w:bookmarkStart w:id="27" w:name="Tc_l8D-zqRiSUuvQluMapScGg_2_4"/>
      <w:bookmarkStart w:id="28" w:name="Tc_a86v36yL10uv9S0aKLc_Fw_1_4"/>
      <w:bookmarkStart w:id="29" w:name="Tc_uATk-qrOfEKMcCAxzhRSQw_1_2"/>
      <w:bookmarkStart w:id="30" w:name="Tc_TWFEz1DwFk-hTFZyYHLRPQ_1_0"/>
      <w:bookmarkStart w:id="31" w:name="_7e40f4f5_affb_45cd_a5f3_613980f9489b"/>
      <w:bookmarkStart w:id="32" w:name="Tc_l8D-zqRiSUuvQluMapScGg_2_4"/>
      <w:bookmarkStart w:id="33" w:name="Tc_a86v36yL10uv9S0aKLc_Fw_1_4"/>
      <w:bookmarkStart w:id="34" w:name="Tc_uATk-qrOfEKMcCAxzhRSQw_1_2"/>
      <w:bookmarkStart w:id="35" w:name="Tc_TWFEz1DwFk-hTFZyYHLRPQ_1_0"/>
      <w:bookmarkStart w:id="36" w:name="_7e40f4f5_affb_45cd_a5f3_613980f9489b"/>
      <w:bookmarkEnd w:id="32"/>
      <w:bookmarkEnd w:id="33"/>
      <w:bookmarkEnd w:id="34"/>
      <w:bookmarkEnd w:id="35"/>
      <w:bookmarkEnd w:id="36"/>
    </w:p>
    <w:tbl>
      <w:tblPr>
        <w:tblW w:w="7976" w:type="dxa"/>
        <w:jc w:val="left"/>
        <w:tblInd w:w="0" w:type="dxa"/>
        <w:tblLayout w:type="fixed"/>
        <w:tblCellMar>
          <w:top w:w="0" w:type="dxa"/>
          <w:left w:w="0" w:type="dxa"/>
          <w:bottom w:w="0" w:type="dxa"/>
          <w:right w:w="0" w:type="dxa"/>
        </w:tblCellMar>
      </w:tblPr>
      <w:tblGrid>
        <w:gridCol w:w="2476"/>
        <w:gridCol w:w="109"/>
        <w:gridCol w:w="1561"/>
        <w:gridCol w:w="109"/>
        <w:gridCol w:w="3721"/>
      </w:tblGrid>
      <w:tr>
        <w:trPr/>
        <w:tc>
          <w:tcPr>
            <w:tcW w:w="2476"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1561"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3721" w:type="dxa"/>
            <w:tcBorders/>
            <w:vAlign w:val="center"/>
          </w:tcPr>
          <w:p>
            <w:pPr>
              <w:pStyle w:val="TableContents"/>
              <w:bidi w:val="0"/>
              <w:spacing w:lineRule="auto" w:line="285" w:before="0" w:after="0"/>
              <w:ind w:left="0" w:right="0" w:hanging="0"/>
              <w:jc w:val="left"/>
              <w:rPr/>
            </w:pPr>
            <w:r>
              <w:rPr/>
              <w:t>​</w:t>
            </w:r>
          </w:p>
        </w:tc>
      </w:tr>
      <w:tr>
        <w:trPr/>
        <w:tc>
          <w:tcPr>
            <w:tcW w:w="2476" w:type="dxa"/>
            <w:tcBorders>
              <w:bottom w:val="single" w:sz="2" w:space="0" w:color="000000"/>
            </w:tcBorders>
            <w:tcMar>
              <w:bottom w:w="28" w:type="dxa"/>
            </w:tcMar>
            <w:vAlign w:val="center"/>
          </w:tcPr>
          <w:p>
            <w:pPr>
              <w:pStyle w:val="TableContents"/>
              <w:bidi w:val="0"/>
              <w:spacing w:lineRule="auto" w:line="285" w:before="0" w:after="44"/>
              <w:ind w:left="0" w:right="0" w:hanging="0"/>
              <w:jc w:val="center"/>
              <w:rPr>
                <w:rFonts w:ascii="Times New Roman;Times;serif" w:hAnsi="Times New Roman;Times;serif"/>
                <w:b/>
                <w:sz w:val="18"/>
              </w:rPr>
            </w:pPr>
            <w:r>
              <w:rPr>
                <w:rFonts w:ascii="Times New Roman;Times;serif" w:hAnsi="Times New Roman;Times;serif"/>
                <w:b/>
                <w:sz w:val="18"/>
              </w:rPr>
              <w:t>Title of Each Class</w:t>
            </w:r>
          </w:p>
        </w:tc>
        <w:tc>
          <w:tcPr>
            <w:tcW w:w="109" w:type="dxa"/>
            <w:tcBorders>
              <w:bottom w:val="single" w:sz="2" w:space="0" w:color="000000"/>
            </w:tcBorders>
            <w:tcMar>
              <w:bottom w:w="28" w:type="dxa"/>
            </w:tcMar>
            <w:vAlign w:val="center"/>
          </w:tcPr>
          <w:p>
            <w:pPr>
              <w:pStyle w:val="TableContents"/>
              <w:bidi w:val="0"/>
              <w:spacing w:lineRule="auto" w:line="285" w:before="0" w:after="0"/>
              <w:ind w:left="0" w:right="0" w:hanging="0"/>
              <w:jc w:val="center"/>
              <w:rPr/>
            </w:pPr>
            <w:r>
              <w:rPr/>
              <w:t>​</w:t>
            </w:r>
          </w:p>
        </w:tc>
        <w:tc>
          <w:tcPr>
            <w:tcW w:w="1561" w:type="dxa"/>
            <w:tcBorders>
              <w:bottom w:val="single" w:sz="2" w:space="0" w:color="000000"/>
            </w:tcBorders>
            <w:tcMar>
              <w:bottom w:w="28" w:type="dxa"/>
            </w:tcMar>
            <w:vAlign w:val="center"/>
          </w:tcPr>
          <w:p>
            <w:pPr>
              <w:pStyle w:val="TableContents"/>
              <w:bidi w:val="0"/>
              <w:spacing w:lineRule="auto" w:line="285" w:before="0" w:after="44"/>
              <w:ind w:left="0" w:right="0" w:hanging="0"/>
              <w:jc w:val="center"/>
              <w:rPr>
                <w:rFonts w:ascii="Times New Roman;Times;serif" w:hAnsi="Times New Roman;Times;serif"/>
                <w:b/>
                <w:sz w:val="18"/>
              </w:rPr>
            </w:pPr>
            <w:r>
              <w:rPr>
                <w:rFonts w:ascii="Times New Roman;Times;serif" w:hAnsi="Times New Roman;Times;serif"/>
                <w:b/>
                <w:sz w:val="18"/>
              </w:rPr>
              <w:t>Trading Symbol(s)</w:t>
            </w:r>
          </w:p>
        </w:tc>
        <w:tc>
          <w:tcPr>
            <w:tcW w:w="109" w:type="dxa"/>
            <w:tcBorders>
              <w:bottom w:val="single" w:sz="2" w:space="0" w:color="000000"/>
            </w:tcBorders>
            <w:tcMar>
              <w:bottom w:w="28" w:type="dxa"/>
            </w:tcMar>
            <w:vAlign w:val="center"/>
          </w:tcPr>
          <w:p>
            <w:pPr>
              <w:pStyle w:val="TableContents"/>
              <w:bidi w:val="0"/>
              <w:spacing w:lineRule="auto" w:line="285" w:before="0" w:after="0"/>
              <w:ind w:left="0" w:right="0" w:hanging="0"/>
              <w:jc w:val="center"/>
              <w:rPr/>
            </w:pPr>
            <w:r>
              <w:rPr/>
              <w:t>​</w:t>
            </w:r>
          </w:p>
        </w:tc>
        <w:tc>
          <w:tcPr>
            <w:tcW w:w="3721" w:type="dxa"/>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8"/>
              </w:rPr>
            </w:pPr>
            <w:r>
              <w:rPr>
                <w:rFonts w:ascii="Times New Roman;Times;serif" w:hAnsi="Times New Roman;Times;serif"/>
                <w:b/>
                <w:sz w:val="18"/>
              </w:rPr>
              <w:t>Name of Each Exchange On Which Registered</w:t>
            </w:r>
          </w:p>
        </w:tc>
      </w:tr>
      <w:tr>
        <w:trPr/>
        <w:tc>
          <w:tcPr>
            <w:tcW w:w="2476" w:type="dxa"/>
            <w:tcBorders>
              <w:top w:val="single" w:sz="2" w:space="0" w:color="000000"/>
            </w:tcBorders>
            <w:tcMar>
              <w:top w:w="28" w:type="dxa"/>
            </w:tcMar>
            <w:vAlign w:val="center"/>
          </w:tcPr>
          <w:p>
            <w:pPr>
              <w:pStyle w:val="TableContents"/>
              <w:bidi w:val="0"/>
              <w:spacing w:lineRule="auto" w:line="285" w:before="0" w:after="44"/>
              <w:ind w:left="0" w:right="0" w:hanging="0"/>
              <w:jc w:val="center"/>
              <w:rPr>
                <w:rFonts w:ascii="Times New Roman;Times;serif" w:hAnsi="Times New Roman;Times;serif"/>
                <w:sz w:val="18"/>
              </w:rPr>
            </w:pPr>
            <w:r>
              <w:rPr>
                <w:rFonts w:ascii="Times New Roman;Times;serif" w:hAnsi="Times New Roman;Times;serif"/>
                <w:sz w:val="18"/>
              </w:rPr>
              <w:t>Common stock, $0.001 par value</w:t>
            </w:r>
          </w:p>
        </w:tc>
        <w:tc>
          <w:tcPr>
            <w:tcW w:w="109" w:type="dxa"/>
            <w:tcBorders/>
            <w:vAlign w:val="center"/>
          </w:tcPr>
          <w:p>
            <w:pPr>
              <w:pStyle w:val="TableContents"/>
              <w:bidi w:val="0"/>
              <w:spacing w:lineRule="auto" w:line="285" w:before="0" w:after="0"/>
              <w:ind w:left="0" w:right="0" w:hanging="0"/>
              <w:jc w:val="center"/>
              <w:rPr/>
            </w:pPr>
            <w:r>
              <w:rPr/>
              <w:t>​</w:t>
            </w:r>
          </w:p>
        </w:tc>
        <w:tc>
          <w:tcPr>
            <w:tcW w:w="1561" w:type="dxa"/>
            <w:tcBorders>
              <w:top w:val="single" w:sz="2" w:space="0" w:color="000000"/>
            </w:tcBorders>
            <w:tcMar>
              <w:top w:w="28" w:type="dxa"/>
            </w:tcMar>
            <w:vAlign w:val="center"/>
          </w:tcPr>
          <w:p>
            <w:pPr>
              <w:pStyle w:val="TableContents"/>
              <w:bidi w:val="0"/>
              <w:spacing w:lineRule="auto" w:line="285" w:before="0" w:after="44"/>
              <w:ind w:left="0" w:right="0" w:hanging="0"/>
              <w:jc w:val="center"/>
              <w:rPr>
                <w:rFonts w:ascii="Times New Roman;Times;serif" w:hAnsi="Times New Roman;Times;serif"/>
                <w:sz w:val="18"/>
              </w:rPr>
            </w:pPr>
            <w:r>
              <w:rPr>
                <w:rFonts w:ascii="Times New Roman;Times;serif" w:hAnsi="Times New Roman;Times;serif"/>
                <w:sz w:val="18"/>
              </w:rPr>
              <w:t>MTVA</w:t>
            </w:r>
          </w:p>
        </w:tc>
        <w:tc>
          <w:tcPr>
            <w:tcW w:w="109" w:type="dxa"/>
            <w:tcBorders/>
            <w:vAlign w:val="center"/>
          </w:tcPr>
          <w:p>
            <w:pPr>
              <w:pStyle w:val="TableContents"/>
              <w:bidi w:val="0"/>
              <w:spacing w:lineRule="auto" w:line="285" w:before="0" w:after="0"/>
              <w:ind w:left="0" w:right="0" w:hanging="0"/>
              <w:jc w:val="center"/>
              <w:rPr/>
            </w:pPr>
            <w:r>
              <w:rPr/>
              <w:t>​</w:t>
            </w:r>
          </w:p>
        </w:tc>
        <w:tc>
          <w:tcPr>
            <w:tcW w:w="3721" w:type="dxa"/>
            <w:tcBorders>
              <w:top w:val="single" w:sz="2" w:space="0" w:color="000000"/>
            </w:tcBorders>
            <w:tcMar>
              <w:top w:w="28" w:type="dxa"/>
            </w:tcMar>
            <w:vAlign w:val="center"/>
          </w:tcPr>
          <w:p>
            <w:pPr>
              <w:pStyle w:val="TableContents"/>
              <w:bidi w:val="0"/>
              <w:spacing w:lineRule="auto" w:line="285" w:before="0" w:after="44"/>
              <w:ind w:left="0" w:right="0" w:hanging="0"/>
              <w:jc w:val="center"/>
              <w:rPr>
                <w:rFonts w:ascii="Times New Roman;Times;serif" w:hAnsi="Times New Roman;Times;serif"/>
                <w:sz w:val="20"/>
              </w:rPr>
            </w:pPr>
            <w:r>
              <w:rPr>
                <w:rFonts w:ascii="Times New Roman;Times;serif" w:hAnsi="Times New Roman;Times;serif"/>
                <w:sz w:val="18"/>
              </w:rPr>
              <w:t>The Nasdaq</w:t>
            </w:r>
            <w:r>
              <w:rPr>
                <w:rFonts w:ascii="Times New Roman;Times;serif" w:hAnsi="Times New Roman;Times;serif"/>
                <w:sz w:val="20"/>
              </w:rPr>
              <w:t xml:space="preserve"> </w:t>
            </w:r>
            <w:r>
              <w:rPr>
                <w:rFonts w:ascii="Times New Roman;Times;serif" w:hAnsi="Times New Roman;Times;serif"/>
                <w:sz w:val="18"/>
              </w:rPr>
              <w:t>Stock Market LLC</w:t>
            </w:r>
          </w:p>
        </w:tc>
      </w:tr>
    </w:tbl>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both"/>
        <w:rPr>
          <w:rFonts w:ascii="Times New Roman;Times;serif" w:hAnsi="Times New Roman;Times;serif"/>
          <w:sz w:val="20"/>
        </w:rPr>
      </w:pPr>
      <w:r>
        <w:rPr>
          <w:rFonts w:ascii="Times New Roman;Times;serif" w:hAnsi="Times New Roman;Times;serif"/>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rFonts w:ascii="Times New Roman;Times;serif" w:hAnsi="Times New Roman;Times;serif"/>
          <w:sz w:val="20"/>
        </w:rPr>
        <w:t>  ☒    </w:t>
      </w:r>
      <w:r>
        <w:rPr>
          <w:rFonts w:ascii="Times New Roman;Times;serif" w:hAnsi="Times New Roman;Times;serif"/>
          <w:sz w:val="18"/>
        </w:rPr>
        <w:t>No  </w:t>
      </w:r>
      <w:r>
        <w:rPr>
          <w:rFonts w:ascii="Times New Roman;Times;serif" w:hAnsi="Times New Roman;Times;serif"/>
          <w:sz w:val="20"/>
        </w:rPr>
        <w:t>☐</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both"/>
        <w:rPr>
          <w:rFonts w:ascii="Times New Roman;Times;serif" w:hAnsi="Times New Roman;Times;serif"/>
          <w:sz w:val="20"/>
        </w:rPr>
      </w:pPr>
      <w:r>
        <w:rPr>
          <w:rFonts w:ascii="Times New Roman;Times;serif" w:hAnsi="Times New Roman;Times;serif"/>
          <w:sz w:val="18"/>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w:t>
      </w:r>
      <w:r>
        <w:rPr>
          <w:rFonts w:ascii="Times New Roman;Times;serif" w:hAnsi="Times New Roman;Times;serif"/>
          <w:sz w:val="20"/>
        </w:rPr>
        <w:t>  ☒    </w:t>
      </w:r>
      <w:r>
        <w:rPr>
          <w:rFonts w:ascii="Times New Roman;Times;serif" w:hAnsi="Times New Roman;Times;serif"/>
          <w:sz w:val="18"/>
        </w:rPr>
        <w:t>No  </w:t>
      </w:r>
      <w:r>
        <w:rPr>
          <w:rFonts w:ascii="Times New Roman;Times;serif" w:hAnsi="Times New Roman;Times;serif"/>
          <w:sz w:val="20"/>
        </w:rPr>
        <w:t>☐</w:t>
      </w:r>
    </w:p>
    <w:p>
      <w:pPr>
        <w:pStyle w:val="TextBody"/>
        <w:bidi w:val="0"/>
        <w:spacing w:lineRule="auto" w:line="285" w:before="0" w:after="0"/>
        <w:ind w:left="0" w:right="0" w:hanging="0"/>
        <w:jc w:val="both"/>
        <w:rPr/>
      </w:pPr>
      <w:r>
        <w:rPr/>
        <w:t>​</w:t>
      </w:r>
    </w:p>
    <w:p>
      <w:pPr>
        <w:pStyle w:val="TextBody"/>
        <w:bidi w:val="0"/>
        <w:spacing w:lineRule="auto" w:line="285" w:before="0" w:after="0"/>
        <w:ind w:left="0" w:right="0" w:hanging="0"/>
        <w:jc w:val="both"/>
        <w:rPr>
          <w:rFonts w:ascii="Times New Roman;Times;serif" w:hAnsi="Times New Roman;Times;serif"/>
          <w:sz w:val="18"/>
        </w:rPr>
      </w:pPr>
      <w:r>
        <w:rPr>
          <w:rFonts w:ascii="Times New Roman;Times;serif" w:hAnsi="Times New Roman;Times;serif"/>
          <w:sz w:val="18"/>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spacing w:lineRule="auto" w:line="285" w:before="0" w:after="0"/>
        <w:ind w:left="0" w:right="0" w:hanging="0"/>
        <w:jc w:val="both"/>
        <w:rPr/>
      </w:pPr>
      <w:r>
        <w:rPr/>
        <w:t>​</w:t>
      </w:r>
    </w:p>
    <w:tbl>
      <w:tblPr>
        <w:tblW w:w="4667" w:type="dxa"/>
        <w:jc w:val="left"/>
        <w:tblInd w:w="0" w:type="dxa"/>
        <w:tblLayout w:type="fixed"/>
        <w:tblCellMar>
          <w:top w:w="0" w:type="dxa"/>
          <w:left w:w="0" w:type="dxa"/>
          <w:bottom w:w="0" w:type="dxa"/>
          <w:right w:w="0" w:type="dxa"/>
        </w:tblCellMar>
      </w:tblPr>
      <w:tblGrid>
        <w:gridCol w:w="2326"/>
        <w:gridCol w:w="2341"/>
      </w:tblGrid>
      <w:tr>
        <w:trPr/>
        <w:tc>
          <w:tcPr>
            <w:tcW w:w="2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1477010" cy="29210"/>
                      <wp:effectExtent l="0" t="0" r="0" b="0"/>
                      <wp:wrapNone/>
                      <wp:docPr id="13" name="Frame12"/>
                      <a:graphic xmlns:a="http://schemas.openxmlformats.org/drawingml/2006/main">
                        <a:graphicData uri="http://schemas.microsoft.com/office/word/2010/wordprocessingShape">
                          <wps:wsp>
                            <wps:cNvSpPr txBox="1"/>
                            <wps:spPr>
                              <a:xfrm>
                                <a:off x="0" y="0"/>
                                <a:ext cx="147701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6.3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23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1486535" cy="29210"/>
                      <wp:effectExtent l="0" t="0" r="0" b="0"/>
                      <wp:wrapNone/>
                      <wp:docPr id="14" name="Frame13"/>
                      <a:graphic xmlns:a="http://schemas.openxmlformats.org/drawingml/2006/main">
                        <a:graphicData uri="http://schemas.microsoft.com/office/word/2010/wordprocessingShape">
                          <wps:wsp>
                            <wps:cNvSpPr txBox="1"/>
                            <wps:spPr>
                              <a:xfrm>
                                <a:off x="0" y="0"/>
                                <a:ext cx="148653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7.0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r>
      <w:tr>
        <w:trPr/>
        <w:tc>
          <w:tcPr>
            <w:tcW w:w="2326" w:type="dxa"/>
            <w:tcBorders/>
            <w:vAlign w:val="center"/>
          </w:tcPr>
          <w:p>
            <w:pPr>
              <w:pStyle w:val="TableContents"/>
              <w:bidi w:val="0"/>
              <w:spacing w:lineRule="auto" w:line="304" w:before="0" w:after="0"/>
              <w:ind w:left="0" w:right="0" w:hanging="0"/>
              <w:jc w:val="center"/>
              <w:rPr>
                <w:rFonts w:ascii="Times New Roman;Times;serif" w:hAnsi="Times New Roman;Times;serif"/>
                <w:sz w:val="18"/>
              </w:rPr>
            </w:pPr>
            <w:r>
              <w:rPr>
                <w:rFonts w:ascii="Times New Roman;Times;serif" w:hAnsi="Times New Roman;Times;serif"/>
                <w:sz w:val="18"/>
              </w:rPr>
              <w:t>Large accelerated filer  ☐</w:t>
            </w:r>
          </w:p>
        </w:tc>
        <w:tc>
          <w:tcPr>
            <w:tcW w:w="2341" w:type="dxa"/>
            <w:tcBorders/>
            <w:vAlign w:val="center"/>
          </w:tcPr>
          <w:p>
            <w:pPr>
              <w:pStyle w:val="TableContents"/>
              <w:bidi w:val="0"/>
              <w:spacing w:lineRule="auto" w:line="304" w:before="0" w:after="0"/>
              <w:ind w:left="0" w:right="0" w:hanging="0"/>
              <w:jc w:val="center"/>
              <w:rPr>
                <w:rFonts w:ascii="Times New Roman;Times;serif" w:hAnsi="Times New Roman;Times;serif"/>
                <w:sz w:val="18"/>
              </w:rPr>
            </w:pPr>
            <w:r>
              <w:rPr>
                <w:rFonts w:ascii="Times New Roman;Times;serif" w:hAnsi="Times New Roman;Times;serif"/>
                <w:sz w:val="18"/>
              </w:rPr>
              <w:t>Accelerated filer  ☐</w:t>
            </w:r>
          </w:p>
        </w:tc>
      </w:tr>
      <w:tr>
        <w:trPr/>
        <w:tc>
          <w:tcPr>
            <w:tcW w:w="2326" w:type="dxa"/>
            <w:tcBorders/>
            <w:vAlign w:val="center"/>
          </w:tcPr>
          <w:p>
            <w:pPr>
              <w:pStyle w:val="TableContents"/>
              <w:bidi w:val="0"/>
              <w:spacing w:lineRule="auto" w:line="304" w:before="0" w:after="0"/>
              <w:ind w:left="0" w:right="0" w:hanging="0"/>
              <w:jc w:val="center"/>
              <w:rPr>
                <w:rFonts w:ascii="Times New Roman;Times;serif" w:hAnsi="Times New Roman;Times;serif"/>
                <w:sz w:val="20"/>
              </w:rPr>
            </w:pPr>
            <w:r>
              <w:rPr>
                <w:rFonts w:ascii="Times New Roman;Times;serif" w:hAnsi="Times New Roman;Times;serif"/>
                <w:sz w:val="18"/>
              </w:rPr>
              <w:t>Non-accelerated filer</w:t>
            </w:r>
            <w:r>
              <w:rPr>
                <w:rFonts w:ascii="Times New Roman;Times;serif" w:hAnsi="Times New Roman;Times;serif"/>
                <w:sz w:val="20"/>
              </w:rPr>
              <w:t>  ☒</w:t>
            </w:r>
          </w:p>
        </w:tc>
        <w:tc>
          <w:tcPr>
            <w:tcW w:w="2341" w:type="dxa"/>
            <w:tcBorders/>
            <w:vAlign w:val="center"/>
          </w:tcPr>
          <w:p>
            <w:pPr>
              <w:pStyle w:val="TableContents"/>
              <w:bidi w:val="0"/>
              <w:spacing w:lineRule="auto" w:line="304" w:before="0" w:after="0"/>
              <w:ind w:left="0" w:right="0" w:hanging="0"/>
              <w:jc w:val="center"/>
              <w:rPr>
                <w:rFonts w:ascii="Times New Roman;Times;serif" w:hAnsi="Times New Roman;Times;serif"/>
                <w:sz w:val="20"/>
              </w:rPr>
            </w:pPr>
            <w:r>
              <w:rPr>
                <w:rFonts w:ascii="Times New Roman;Times;serif" w:hAnsi="Times New Roman;Times;serif"/>
                <w:sz w:val="18"/>
              </w:rPr>
              <w:t>Smaller reporting company </w:t>
            </w:r>
            <w:r>
              <w:rPr>
                <w:rFonts w:ascii="Times New Roman;Times;serif" w:hAnsi="Times New Roman;Times;serif"/>
                <w:sz w:val="20"/>
              </w:rPr>
              <w:t> ☒</w:t>
            </w:r>
          </w:p>
        </w:tc>
      </w:tr>
      <w:tr>
        <w:trPr/>
        <w:tc>
          <w:tcPr>
            <w:tcW w:w="2326" w:type="dxa"/>
            <w:tcBorders/>
            <w:vAlign w:val="center"/>
          </w:tcPr>
          <w:p>
            <w:pPr>
              <w:pStyle w:val="TableContents"/>
              <w:bidi w:val="0"/>
              <w:spacing w:lineRule="auto" w:line="304" w:before="0" w:after="0"/>
              <w:ind w:left="0" w:right="0" w:hanging="0"/>
              <w:jc w:val="center"/>
              <w:rPr>
                <w:rFonts w:ascii="Times New Roman;Times;serif" w:hAnsi="Times New Roman;Times;serif"/>
                <w:sz w:val="20"/>
              </w:rPr>
            </w:pPr>
            <w:r>
              <w:rPr>
                <w:rFonts w:ascii="Times New Roman;Times;serif" w:hAnsi="Times New Roman;Times;serif"/>
                <w:sz w:val="18"/>
              </w:rPr>
              <w:t>Emerging growth company  </w:t>
            </w:r>
            <w:r>
              <w:rPr>
                <w:rFonts w:ascii="Times New Roman;Times;serif" w:hAnsi="Times New Roman;Times;serif"/>
                <w:sz w:val="20"/>
              </w:rPr>
              <w:t>☐</w:t>
            </w:r>
          </w:p>
        </w:tc>
        <w:tc>
          <w:tcPr>
            <w:tcW w:w="2341" w:type="dxa"/>
            <w:tcBorders/>
            <w:vAlign w:val="center"/>
          </w:tcPr>
          <w:p>
            <w:pPr>
              <w:pStyle w:val="TableContents"/>
              <w:bidi w:val="0"/>
              <w:spacing w:lineRule="auto" w:line="304" w:before="0" w:after="0"/>
              <w:ind w:left="0" w:right="0" w:hanging="0"/>
              <w:jc w:val="left"/>
              <w:rPr/>
            </w:pPr>
            <w:r>
              <w:rPr/>
              <w:t> </w:t>
            </w:r>
          </w:p>
        </w:tc>
      </w:tr>
    </w:tbl>
    <w:p>
      <w:pPr>
        <w:pStyle w:val="TextBody"/>
        <w:bidi w:val="0"/>
        <w:spacing w:lineRule="auto" w:line="285" w:before="0" w:after="0"/>
        <w:ind w:left="0" w:right="0" w:hanging="0"/>
        <w:jc w:val="both"/>
        <w:rPr/>
      </w:pPr>
      <w:r>
        <w:rPr/>
        <w:t>​</w:t>
      </w:r>
    </w:p>
    <w:p>
      <w:pPr>
        <w:pStyle w:val="TextBody"/>
        <w:bidi w:val="0"/>
        <w:spacing w:lineRule="auto" w:line="285" w:before="0" w:after="0"/>
        <w:ind w:left="0" w:right="0" w:hanging="0"/>
        <w:jc w:val="both"/>
        <w:rPr>
          <w:rFonts w:ascii="Times New Roman;Times;serif" w:hAnsi="Times New Roman;Times;serif"/>
          <w:sz w:val="18"/>
        </w:rPr>
      </w:pPr>
      <w:r>
        <w:rPr>
          <w:rFonts w:ascii="Times New Roman;Times;serif" w:hAnsi="Times New Roman;Times;serif"/>
          <w:sz w:val="18"/>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both"/>
        <w:rPr>
          <w:rFonts w:ascii="Times New Roman;Times;serif" w:hAnsi="Times New Roman;Times;serif"/>
          <w:sz w:val="20"/>
        </w:rPr>
      </w:pPr>
      <w:r>
        <w:rPr>
          <w:rFonts w:ascii="Times New Roman;Times;serif" w:hAnsi="Times New Roman;Times;serif"/>
          <w:sz w:val="18"/>
        </w:rPr>
        <w:t>Indicate by check mark whether the registrant is a shell company (as defined in Rule 12b-2 of the Exchange Act). Yes  </w:t>
      </w:r>
      <w:r>
        <w:rPr>
          <w:rFonts w:ascii="Times New Roman;Times;serif" w:hAnsi="Times New Roman;Times;serif"/>
          <w:sz w:val="20"/>
        </w:rPr>
        <w:t>☐  </w:t>
      </w:r>
      <w:r>
        <w:rPr>
          <w:rFonts w:ascii="Times New Roman;Times;serif" w:hAnsi="Times New Roman;Times;serif"/>
          <w:sz w:val="18"/>
        </w:rPr>
        <w:t>No  </w:t>
      </w:r>
      <w:r>
        <w:rPr>
          <w:rFonts w:ascii="Times New Roman;Times;serif" w:hAnsi="Times New Roman;Times;serif"/>
          <w:sz w:val="20"/>
        </w:rPr>
        <w:t>☒</w:t>
      </w:r>
    </w:p>
    <w:p>
      <w:pPr>
        <w:pStyle w:val="TextBody"/>
        <w:bidi w:val="0"/>
        <w:spacing w:lineRule="auto" w:line="285" w:before="0" w:after="0"/>
        <w:ind w:left="0" w:right="0" w:hanging="0"/>
        <w:jc w:val="both"/>
        <w:rPr/>
      </w:pPr>
      <w:r>
        <w:rPr/>
        <w:t>​</w:t>
      </w:r>
    </w:p>
    <w:p>
      <w:pPr>
        <w:pStyle w:val="TextBody"/>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As of August 3, 2026, the registrant had 6,588,101 shares of common stock, $0.001 par value per share, issued and outstanding.</w:t>
      </w:r>
    </w:p>
    <w:p>
      <w:pPr>
        <w:pStyle w:val="TextBody"/>
        <w:bidi w:val="0"/>
        <w:spacing w:lineRule="auto" w:line="285" w:before="0" w:after="0"/>
        <w:ind w:left="0" w:right="0" w:hanging="0"/>
        <w:jc w:val="left"/>
        <w:rPr/>
      </w:pPr>
      <w:r>
        <w:rPr/>
        <w:t>​</w:t>
      </w:r>
    </w:p>
    <w:p>
      <w:pPr>
        <w:pStyle w:val="TextBody"/>
        <w:pBdr>
          <w:top w:val="single" w:sz="8" w:space="1" w:color="000000"/>
          <w:bottom w:val="single" w:sz="24" w:space="1" w:color="000000"/>
        </w:pBdr>
        <w:bidi w:val="0"/>
        <w:spacing w:lineRule="auto" w:line="285" w:before="0" w:after="0"/>
        <w:ind w:left="0" w:right="0" w:hanging="0"/>
        <w:jc w:val="left"/>
        <w:rPr/>
      </w:pPr>
      <w:r>
        <w:rPr/>
        <w:t>​</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center"/>
        <w:rPr/>
      </w:pPr>
      <w:r>
        <w:rPr/>
        <w:t>​</w:t>
      </w:r>
    </w:p>
    <w:p>
      <w:pPr>
        <w:pStyle w:val="TextBody"/>
        <w:bidi w:val="0"/>
        <w:spacing w:lineRule="auto" w:line="285"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r>
        <w:rPr>
          <w:rFonts w:ascii="Times New Roman;Times;serif" w:hAnsi="Times New Roman;Times;serif"/>
          <w:color w:val="0563C1"/>
          <w:sz w:val="20"/>
        </w:rPr>
        <w:t xml:space="preserve"> </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center"/>
        <w:rPr>
          <w:rFonts w:ascii="Times New Roman;Times;serif" w:hAnsi="Times New Roman;Times;serif"/>
          <w:b/>
          <w:sz w:val="20"/>
        </w:rPr>
      </w:pPr>
      <w:bookmarkStart w:id="37" w:name="_fe2fadd5_1d3c_46e0_a731_7ee895ac320b"/>
      <w:bookmarkEnd w:id="37"/>
      <w:r>
        <w:rPr>
          <w:rFonts w:ascii="Times New Roman;Times;serif" w:hAnsi="Times New Roman;Times;serif"/>
          <w:b/>
          <w:sz w:val="20"/>
        </w:rPr>
        <w:t>METAVIA INC.</w:t>
      </w:r>
    </w:p>
    <w:p>
      <w:pPr>
        <w:pStyle w:val="TextBody"/>
        <w:bidi w:val="0"/>
        <w:spacing w:lineRule="auto" w:line="285" w:before="0" w:after="0"/>
        <w:ind w:left="0" w:right="0" w:hanging="0"/>
        <w:jc w:val="center"/>
        <w:rPr/>
      </w:pPr>
      <w:r>
        <w:rPr/>
        <w:t>​</w:t>
      </w:r>
    </w:p>
    <w:p>
      <w:pPr>
        <w:pStyle w:val="TextBody"/>
        <w:bidi w:val="0"/>
        <w:spacing w:lineRule="auto" w:line="285" w:before="0" w:after="0"/>
        <w:ind w:left="0" w:right="0" w:hanging="0"/>
        <w:jc w:val="center"/>
        <w:rPr>
          <w:rFonts w:ascii="Times New Roman;Times;serif" w:hAnsi="Times New Roman;Times;serif"/>
          <w:b/>
          <w:sz w:val="20"/>
        </w:rPr>
      </w:pPr>
      <w:bookmarkStart w:id="38" w:name="Toc"/>
      <w:bookmarkEnd w:id="38"/>
      <w:r>
        <w:rPr>
          <w:rFonts w:ascii="Times New Roman;Times;serif" w:hAnsi="Times New Roman;Times;serif"/>
          <w:b/>
          <w:sz w:val="20"/>
        </w:rPr>
        <w:t>Table of Contents</w:t>
      </w:r>
    </w:p>
    <w:p>
      <w:pPr>
        <w:pStyle w:val="TextBody"/>
        <w:bidi w:val="0"/>
        <w:spacing w:lineRule="auto" w:line="285" w:before="0" w:after="0"/>
        <w:ind w:left="0" w:right="0" w:hanging="0"/>
        <w:jc w:val="center"/>
        <w:rPr/>
      </w:pPr>
      <w:r>
        <w:rPr/>
        <w:t>​</w:t>
      </w:r>
    </w:p>
    <w:tbl>
      <w:tblPr>
        <w:tblW w:w="10205" w:type="dxa"/>
        <w:jc w:val="left"/>
        <w:tblInd w:w="0" w:type="dxa"/>
        <w:tblLayout w:type="fixed"/>
        <w:tblCellMar>
          <w:top w:w="0" w:type="dxa"/>
          <w:left w:w="0" w:type="dxa"/>
          <w:bottom w:w="0" w:type="dxa"/>
          <w:right w:w="0" w:type="dxa"/>
        </w:tblCellMar>
      </w:tblPr>
      <w:tblGrid>
        <w:gridCol w:w="755"/>
        <w:gridCol w:w="9088"/>
        <w:gridCol w:w="362"/>
      </w:tblGrid>
      <w:tr>
        <w:trPr/>
        <w:tc>
          <w:tcPr>
            <w:tcW w:w="755" w:type="dxa"/>
            <w:tcBorders/>
            <w:shd w:fill="CCEEFF" w:val="clear"/>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479425" cy="175260"/>
                      <wp:effectExtent l="0" t="0" r="0" b="0"/>
                      <wp:wrapNone/>
                      <wp:docPr id="15" name="Frame14"/>
                      <a:graphic xmlns:a="http://schemas.openxmlformats.org/drawingml/2006/main">
                        <a:graphicData uri="http://schemas.microsoft.com/office/word/2010/wordprocessingShape">
                          <wps:wsp>
                            <wps:cNvSpPr txBox="1"/>
                            <wps:spPr>
                              <a:xfrm>
                                <a:off x="0" y="0"/>
                                <a:ext cx="47942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9088" w:type="dxa"/>
            <w:tcBorders/>
            <w:shd w:fill="CCEEFF" w:val="clear"/>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5770880" cy="175260"/>
                      <wp:effectExtent l="0" t="0" r="0" b="0"/>
                      <wp:wrapNone/>
                      <wp:docPr id="16" name="Frame15"/>
                      <a:graphic xmlns:a="http://schemas.openxmlformats.org/drawingml/2006/main">
                        <a:graphicData uri="http://schemas.microsoft.com/office/word/2010/wordprocessingShape">
                          <wps:wsp>
                            <wps:cNvSpPr txBox="1"/>
                            <wps:spPr>
                              <a:xfrm>
                                <a:off x="0" y="0"/>
                                <a:ext cx="577088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4.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62" w:type="dxa"/>
            <w:tcBorders/>
            <w:shd w:fill="CCEEFF" w:val="clear"/>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229870" cy="175260"/>
                      <wp:effectExtent l="0" t="0" r="0" b="0"/>
                      <wp:wrapNone/>
                      <wp:docPr id="17" name="Frame16"/>
                      <a:graphic xmlns:a="http://schemas.openxmlformats.org/drawingml/2006/main">
                        <a:graphicData uri="http://schemas.microsoft.com/office/word/2010/wordprocessingShape">
                          <wps:wsp>
                            <wps:cNvSpPr txBox="1"/>
                            <wps:spPr>
                              <a:xfrm>
                                <a:off x="0" y="0"/>
                                <a:ext cx="22987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r>
      <w:tr>
        <w:trPr/>
        <w:tc>
          <w:tcPr>
            <w:tcW w:w="9843" w:type="dxa"/>
            <w:gridSpan w:val="2"/>
            <w:tcBorders/>
            <w:shd w:fill="CCEEFF" w:val="clear"/>
            <w:vAlign w:val="center"/>
          </w:tcPr>
          <w:p>
            <w:pPr>
              <w:pStyle w:val="TableContents"/>
              <w:bidi w:val="0"/>
              <w:spacing w:lineRule="auto" w:line="285" w:before="0" w:after="0"/>
              <w:ind w:left="0" w:right="0" w:hanging="0"/>
              <w:jc w:val="both"/>
              <w:rPr/>
            </w:pPr>
            <w:hyperlink w:anchor="Special_Note_Forward_Looking_Statements">
              <w:r>
                <w:rPr>
                  <w:rStyle w:val="InternetLink"/>
                  <w:rFonts w:ascii="Times New Roman;Times;serif" w:hAnsi="Times New Roman;Times;serif"/>
                  <w:b w:val="false"/>
                  <w:i w:val="false"/>
                  <w:caps w:val="false"/>
                  <w:smallCaps w:val="false"/>
                  <w:sz w:val="20"/>
                </w:rPr>
                <w:t>Special Note Regarding Forward-Looking Statements</w:t>
              </w:r>
            </w:hyperlink>
          </w:p>
        </w:tc>
        <w:tc>
          <w:tcPr>
            <w:tcW w:w="362"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w:t>
            </w:r>
          </w:p>
        </w:tc>
      </w:tr>
      <w:tr>
        <w:trPr/>
        <w:tc>
          <w:tcPr>
            <w:tcW w:w="755" w:type="dxa"/>
            <w:tcBorders/>
            <w:vAlign w:val="center"/>
          </w:tcPr>
          <w:p>
            <w:pPr>
              <w:pStyle w:val="TableContents"/>
              <w:bidi w:val="0"/>
              <w:spacing w:lineRule="auto" w:line="285" w:before="0" w:after="0"/>
              <w:ind w:left="0" w:right="0" w:hanging="0"/>
              <w:jc w:val="left"/>
              <w:rPr/>
            </w:pPr>
            <w:hyperlink w:anchor="PARTIFINANCIALINFORMATION_483013">
              <w:r>
                <w:rPr>
                  <w:rStyle w:val="InternetLink"/>
                  <w:rFonts w:ascii="Times New Roman;Times;serif" w:hAnsi="Times New Roman;Times;serif"/>
                  <w:b w:val="false"/>
                  <w:i w:val="false"/>
                  <w:caps w:val="false"/>
                  <w:smallCaps w:val="false"/>
                  <w:sz w:val="20"/>
                </w:rPr>
                <w:t>Part I</w:t>
              </w:r>
            </w:hyperlink>
          </w:p>
        </w:tc>
        <w:tc>
          <w:tcPr>
            <w:tcW w:w="9088" w:type="dxa"/>
            <w:tcBorders/>
            <w:vAlign w:val="center"/>
          </w:tcPr>
          <w:p>
            <w:pPr>
              <w:pStyle w:val="TableContents"/>
              <w:bidi w:val="0"/>
              <w:spacing w:lineRule="auto" w:line="285" w:before="0" w:after="0"/>
              <w:ind w:left="0" w:right="0" w:hanging="0"/>
              <w:jc w:val="both"/>
              <w:rPr/>
            </w:pPr>
            <w:hyperlink w:anchor="PARTIFINANCIALINFORMATION_483013">
              <w:r>
                <w:rPr>
                  <w:rStyle w:val="InternetLink"/>
                  <w:rFonts w:ascii="Times New Roman;Times;serif" w:hAnsi="Times New Roman;Times;serif"/>
                  <w:b w:val="false"/>
                  <w:i w:val="false"/>
                  <w:caps w:val="false"/>
                  <w:smallCaps w:val="false"/>
                  <w:sz w:val="20"/>
                </w:rPr>
                <w:t>Financial Information</w:t>
              </w:r>
            </w:hyperlink>
          </w:p>
        </w:tc>
        <w:tc>
          <w:tcPr>
            <w:tcW w:w="362"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w:t>
            </w:r>
          </w:p>
        </w:tc>
      </w:tr>
      <w:tr>
        <w:trPr/>
        <w:tc>
          <w:tcPr>
            <w:tcW w:w="755" w:type="dxa"/>
            <w:tcBorders/>
            <w:shd w:fill="CCEEFF" w:val="clear"/>
            <w:vAlign w:val="center"/>
          </w:tcPr>
          <w:p>
            <w:pPr>
              <w:pStyle w:val="TableContents"/>
              <w:bidi w:val="0"/>
              <w:spacing w:lineRule="auto" w:line="285" w:before="0" w:after="0"/>
              <w:ind w:left="0" w:right="0" w:hanging="0"/>
              <w:jc w:val="left"/>
              <w:rPr/>
            </w:pPr>
            <w:hyperlink w:anchor="ITEM1FINANCIALSTATEMENTS_386115">
              <w:r>
                <w:rPr>
                  <w:rStyle w:val="InternetLink"/>
                  <w:rFonts w:ascii="Times New Roman;Times;serif" w:hAnsi="Times New Roman;Times;serif"/>
                  <w:b w:val="false"/>
                  <w:i w:val="false"/>
                  <w:caps w:val="false"/>
                  <w:smallCaps w:val="false"/>
                  <w:sz w:val="20"/>
                </w:rPr>
                <w:t>Item 1.</w:t>
              </w:r>
            </w:hyperlink>
            <w:r>
              <w:rPr>
                <w:rFonts w:ascii="Times New Roman;Times;serif" w:hAnsi="Times New Roman;Times;serif"/>
                <w:sz w:val="20"/>
              </w:rPr>
              <w:t xml:space="preserve"> </w:t>
            </w:r>
          </w:p>
        </w:tc>
        <w:tc>
          <w:tcPr>
            <w:tcW w:w="9088" w:type="dxa"/>
            <w:tcBorders/>
            <w:shd w:fill="CCEEFF" w:val="clear"/>
            <w:vAlign w:val="center"/>
          </w:tcPr>
          <w:p>
            <w:pPr>
              <w:pStyle w:val="TableContents"/>
              <w:bidi w:val="0"/>
              <w:spacing w:lineRule="auto" w:line="285" w:before="0" w:after="0"/>
              <w:ind w:left="0" w:right="0" w:hanging="0"/>
              <w:jc w:val="both"/>
              <w:rPr/>
            </w:pPr>
            <w:hyperlink w:anchor="ITEM1FINANCIALSTATEMENTS_386115">
              <w:r>
                <w:rPr>
                  <w:rStyle w:val="InternetLink"/>
                  <w:rFonts w:ascii="Times New Roman;Times;serif" w:hAnsi="Times New Roman;Times;serif"/>
                  <w:b w:val="false"/>
                  <w:i w:val="false"/>
                  <w:caps w:val="false"/>
                  <w:smallCaps w:val="false"/>
                  <w:sz w:val="20"/>
                </w:rPr>
                <w:t>Financial Statements (Unaudited)</w:t>
              </w:r>
            </w:hyperlink>
            <w:r>
              <w:rPr>
                <w:rFonts w:ascii="Times New Roman;Times;serif" w:hAnsi="Times New Roman;Times;serif"/>
                <w:sz w:val="20"/>
              </w:rPr>
              <w:t xml:space="preserve"> </w:t>
            </w:r>
          </w:p>
        </w:tc>
        <w:tc>
          <w:tcPr>
            <w:tcW w:w="362"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w:t>
            </w:r>
          </w:p>
        </w:tc>
      </w:tr>
      <w:tr>
        <w:trPr/>
        <w:tc>
          <w:tcPr>
            <w:tcW w:w="755" w:type="dxa"/>
            <w:tcBorders/>
            <w:vAlign w:val="center"/>
          </w:tcPr>
          <w:p>
            <w:pPr>
              <w:pStyle w:val="TableContents"/>
              <w:bidi w:val="0"/>
              <w:spacing w:lineRule="auto" w:line="285" w:before="0" w:after="0"/>
              <w:ind w:left="0" w:right="0" w:hanging="0"/>
              <w:jc w:val="left"/>
              <w:rPr/>
            </w:pPr>
            <w:r>
              <w:rPr/>
              <w:t>​</w:t>
            </w:r>
          </w:p>
        </w:tc>
        <w:tc>
          <w:tcPr>
            <w:tcW w:w="9088" w:type="dxa"/>
            <w:tcBorders/>
            <w:vAlign w:val="center"/>
          </w:tcPr>
          <w:p>
            <w:pPr>
              <w:pStyle w:val="TableContents"/>
              <w:bidi w:val="0"/>
              <w:spacing w:lineRule="auto" w:line="285" w:before="0" w:after="0"/>
              <w:ind w:left="0" w:right="0" w:hanging="0"/>
              <w:jc w:val="both"/>
              <w:rPr/>
            </w:pPr>
            <w:hyperlink w:anchor="BalanceSheets_383724">
              <w:r>
                <w:rPr>
                  <w:rStyle w:val="InternetLink"/>
                  <w:rFonts w:ascii="Times New Roman;Times;serif" w:hAnsi="Times New Roman;Times;serif"/>
                  <w:b w:val="false"/>
                  <w:i w:val="false"/>
                  <w:caps w:val="false"/>
                  <w:smallCaps w:val="false"/>
                  <w:sz w:val="20"/>
                </w:rPr>
                <w:t>Condensed Consolidated Balance Sheets as of June 30, 2026 and December 31, 2025 (Unaudited)</w:t>
              </w:r>
            </w:hyperlink>
          </w:p>
        </w:tc>
        <w:tc>
          <w:tcPr>
            <w:tcW w:w="362"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w:t>
            </w:r>
          </w:p>
        </w:tc>
      </w:tr>
      <w:tr>
        <w:trPr/>
        <w:tc>
          <w:tcPr>
            <w:tcW w:w="755" w:type="dxa"/>
            <w:tcBorders/>
            <w:shd w:fill="CCEEFF" w:val="clear"/>
            <w:vAlign w:val="center"/>
          </w:tcPr>
          <w:p>
            <w:pPr>
              <w:pStyle w:val="TableContents"/>
              <w:bidi w:val="0"/>
              <w:spacing w:lineRule="auto" w:line="285" w:before="0" w:after="0"/>
              <w:ind w:left="0" w:right="0" w:hanging="0"/>
              <w:jc w:val="left"/>
              <w:rPr/>
            </w:pPr>
            <w:r>
              <w:rPr/>
              <w:t>​</w:t>
            </w:r>
          </w:p>
        </w:tc>
        <w:tc>
          <w:tcPr>
            <w:tcW w:w="9088" w:type="dxa"/>
            <w:tcBorders/>
            <w:shd w:fill="CCEEFF" w:val="clear"/>
            <w:vAlign w:val="center"/>
          </w:tcPr>
          <w:p>
            <w:pPr>
              <w:pStyle w:val="TableContents"/>
              <w:bidi w:val="0"/>
              <w:spacing w:lineRule="auto" w:line="285" w:before="0" w:after="0"/>
              <w:ind w:left="0" w:right="0" w:hanging="0"/>
              <w:jc w:val="both"/>
              <w:rPr/>
            </w:pPr>
            <w:hyperlink w:anchor="ComprehensiveLoss_1868">
              <w:r>
                <w:rPr>
                  <w:rStyle w:val="InternetLink"/>
                  <w:rFonts w:ascii="Times New Roman;Times;serif" w:hAnsi="Times New Roman;Times;serif"/>
                  <w:b w:val="false"/>
                  <w:i w:val="false"/>
                  <w:caps w:val="false"/>
                  <w:smallCaps w:val="false"/>
                  <w:sz w:val="20"/>
                </w:rPr>
                <w:t>Condensed Consolidated Statements of Operations for the three and six months ended June 30, 2026 and 2025 (Unaudited)</w:t>
              </w:r>
            </w:hyperlink>
          </w:p>
        </w:tc>
        <w:tc>
          <w:tcPr>
            <w:tcW w:w="362"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4</w:t>
            </w:r>
          </w:p>
        </w:tc>
      </w:tr>
      <w:tr>
        <w:trPr/>
        <w:tc>
          <w:tcPr>
            <w:tcW w:w="755" w:type="dxa"/>
            <w:tcBorders/>
            <w:vAlign w:val="center"/>
          </w:tcPr>
          <w:p>
            <w:pPr>
              <w:pStyle w:val="TableContents"/>
              <w:bidi w:val="0"/>
              <w:spacing w:lineRule="auto" w:line="285" w:before="0" w:after="0"/>
              <w:ind w:left="0" w:right="0" w:hanging="0"/>
              <w:jc w:val="left"/>
              <w:rPr/>
            </w:pPr>
            <w:r>
              <w:rPr/>
              <w:t>​</w:t>
            </w:r>
          </w:p>
        </w:tc>
        <w:tc>
          <w:tcPr>
            <w:tcW w:w="9088" w:type="dxa"/>
            <w:tcBorders/>
            <w:vAlign w:val="center"/>
          </w:tcPr>
          <w:p>
            <w:pPr>
              <w:pStyle w:val="TableContents"/>
              <w:bidi w:val="0"/>
              <w:spacing w:lineRule="auto" w:line="285" w:before="0" w:after="0"/>
              <w:ind w:left="0" w:right="0" w:hanging="0"/>
              <w:jc w:val="both"/>
              <w:rPr/>
            </w:pPr>
            <w:hyperlink w:anchor="Stockholders_238774">
              <w:r>
                <w:rPr>
                  <w:rStyle w:val="InternetLink"/>
                  <w:rFonts w:ascii="Times New Roman;Times;serif" w:hAnsi="Times New Roman;Times;serif"/>
                  <w:b w:val="false"/>
                  <w:i w:val="false"/>
                  <w:caps w:val="false"/>
                  <w:smallCaps w:val="false"/>
                  <w:sz w:val="20"/>
                </w:rPr>
                <w:t>Condensed Consolidated Statements of Changes in Stockholders’ Equity for the three and six months ended June 30, 2026 and 2025 (Unaudited)</w:t>
              </w:r>
            </w:hyperlink>
            <w:r>
              <w:rPr>
                <w:rFonts w:ascii="Times New Roman;Times;serif" w:hAnsi="Times New Roman;Times;serif"/>
                <w:sz w:val="20"/>
              </w:rPr>
              <w:t xml:space="preserve"> </w:t>
            </w:r>
          </w:p>
        </w:tc>
        <w:tc>
          <w:tcPr>
            <w:tcW w:w="362"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5</w:t>
            </w:r>
          </w:p>
        </w:tc>
      </w:tr>
      <w:tr>
        <w:trPr/>
        <w:tc>
          <w:tcPr>
            <w:tcW w:w="755" w:type="dxa"/>
            <w:tcBorders/>
            <w:shd w:fill="CCEEFF" w:val="clear"/>
            <w:vAlign w:val="center"/>
          </w:tcPr>
          <w:p>
            <w:pPr>
              <w:pStyle w:val="TableContents"/>
              <w:bidi w:val="0"/>
              <w:spacing w:lineRule="auto" w:line="285" w:before="0" w:after="0"/>
              <w:ind w:left="0" w:right="0" w:hanging="0"/>
              <w:jc w:val="left"/>
              <w:rPr/>
            </w:pPr>
            <w:r>
              <w:rPr/>
              <w:t>​</w:t>
            </w:r>
          </w:p>
        </w:tc>
        <w:tc>
          <w:tcPr>
            <w:tcW w:w="9088" w:type="dxa"/>
            <w:tcBorders/>
            <w:shd w:fill="CCEEFF" w:val="clear"/>
            <w:vAlign w:val="center"/>
          </w:tcPr>
          <w:p>
            <w:pPr>
              <w:pStyle w:val="TableContents"/>
              <w:bidi w:val="0"/>
              <w:spacing w:lineRule="auto" w:line="285" w:before="0" w:after="0"/>
              <w:ind w:left="0" w:right="0" w:hanging="0"/>
              <w:jc w:val="both"/>
              <w:rPr/>
            </w:pPr>
            <w:hyperlink w:anchor="CashFlows_19527">
              <w:r>
                <w:rPr>
                  <w:rStyle w:val="InternetLink"/>
                  <w:rFonts w:ascii="Times New Roman;Times;serif" w:hAnsi="Times New Roman;Times;serif"/>
                  <w:b w:val="false"/>
                  <w:i w:val="false"/>
                  <w:caps w:val="false"/>
                  <w:smallCaps w:val="false"/>
                  <w:sz w:val="20"/>
                </w:rPr>
                <w:t>Condensed Consolidated Statements of Cash Flows for the six months ended June 30, 2026 and 2025 (Unaudited)</w:t>
              </w:r>
            </w:hyperlink>
          </w:p>
        </w:tc>
        <w:tc>
          <w:tcPr>
            <w:tcW w:w="362"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6</w:t>
            </w:r>
          </w:p>
        </w:tc>
      </w:tr>
      <w:tr>
        <w:trPr/>
        <w:tc>
          <w:tcPr>
            <w:tcW w:w="755" w:type="dxa"/>
            <w:tcBorders/>
            <w:vAlign w:val="center"/>
          </w:tcPr>
          <w:p>
            <w:pPr>
              <w:pStyle w:val="TableContents"/>
              <w:bidi w:val="0"/>
              <w:spacing w:lineRule="auto" w:line="285" w:before="0" w:after="0"/>
              <w:ind w:left="0" w:right="0" w:hanging="0"/>
              <w:jc w:val="left"/>
              <w:rPr/>
            </w:pPr>
            <w:r>
              <w:rPr/>
              <w:t>​</w:t>
            </w:r>
          </w:p>
        </w:tc>
        <w:tc>
          <w:tcPr>
            <w:tcW w:w="9088" w:type="dxa"/>
            <w:tcBorders/>
            <w:vAlign w:val="center"/>
          </w:tcPr>
          <w:p>
            <w:pPr>
              <w:pStyle w:val="TableContents"/>
              <w:bidi w:val="0"/>
              <w:spacing w:lineRule="auto" w:line="285" w:before="0" w:after="0"/>
              <w:ind w:left="0" w:right="0" w:hanging="0"/>
              <w:jc w:val="both"/>
              <w:rPr/>
            </w:pPr>
            <w:hyperlink w:anchor="TheCompanyandBasisofPresentation_829357">
              <w:r>
                <w:rPr>
                  <w:rStyle w:val="InternetLink"/>
                  <w:rFonts w:ascii="Times New Roman;Times;serif" w:hAnsi="Times New Roman;Times;serif"/>
                  <w:b w:val="false"/>
                  <w:i w:val="false"/>
                  <w:caps w:val="false"/>
                  <w:smallCaps w:val="false"/>
                  <w:sz w:val="20"/>
                </w:rPr>
                <w:t>Notes to the Condensed Consolidated Financial Statements (Unaudited)</w:t>
              </w:r>
            </w:hyperlink>
          </w:p>
        </w:tc>
        <w:tc>
          <w:tcPr>
            <w:tcW w:w="362"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7</w:t>
            </w:r>
          </w:p>
        </w:tc>
      </w:tr>
      <w:tr>
        <w:trPr/>
        <w:tc>
          <w:tcPr>
            <w:tcW w:w="755" w:type="dxa"/>
            <w:tcBorders/>
            <w:shd w:fill="CCEEFF" w:val="clear"/>
            <w:vAlign w:val="center"/>
          </w:tcPr>
          <w:p>
            <w:pPr>
              <w:pStyle w:val="TableContents"/>
              <w:bidi w:val="0"/>
              <w:spacing w:lineRule="auto" w:line="285" w:before="0" w:after="0"/>
              <w:ind w:left="0" w:right="0" w:hanging="0"/>
              <w:jc w:val="left"/>
              <w:rPr/>
            </w:pPr>
            <w:hyperlink w:anchor="ITEM2MANAGEMENTSDISCUSSION_974141">
              <w:r>
                <w:rPr>
                  <w:rStyle w:val="InternetLink"/>
                  <w:rFonts w:ascii="Times New Roman;Times;serif" w:hAnsi="Times New Roman;Times;serif"/>
                  <w:b w:val="false"/>
                  <w:i w:val="false"/>
                  <w:caps w:val="false"/>
                  <w:smallCaps w:val="false"/>
                  <w:sz w:val="20"/>
                </w:rPr>
                <w:t>Item 2.</w:t>
              </w:r>
            </w:hyperlink>
            <w:r>
              <w:rPr>
                <w:rFonts w:ascii="Times New Roman;Times;serif" w:hAnsi="Times New Roman;Times;serif"/>
                <w:sz w:val="20"/>
              </w:rPr>
              <w:t xml:space="preserve"> </w:t>
            </w:r>
          </w:p>
        </w:tc>
        <w:tc>
          <w:tcPr>
            <w:tcW w:w="9088" w:type="dxa"/>
            <w:tcBorders/>
            <w:shd w:fill="CCEEFF" w:val="clear"/>
            <w:vAlign w:val="center"/>
          </w:tcPr>
          <w:p>
            <w:pPr>
              <w:pStyle w:val="TableContents"/>
              <w:bidi w:val="0"/>
              <w:spacing w:lineRule="auto" w:line="285" w:before="0" w:after="0"/>
              <w:ind w:left="0" w:right="0" w:hanging="0"/>
              <w:jc w:val="both"/>
              <w:rPr/>
            </w:pPr>
            <w:hyperlink w:anchor="ITEM2MANAGEMENTSDISCUSSION_974141">
              <w:r>
                <w:rPr>
                  <w:rStyle w:val="InternetLink"/>
                  <w:rFonts w:ascii="Times New Roman;Times;serif" w:hAnsi="Times New Roman;Times;serif"/>
                  <w:b w:val="false"/>
                  <w:i w:val="false"/>
                  <w:caps w:val="false"/>
                  <w:smallCaps w:val="false"/>
                  <w:sz w:val="20"/>
                </w:rPr>
                <w:t>Management’s Discussion and Analysis of Financial Condition and Results of Operations</w:t>
              </w:r>
            </w:hyperlink>
          </w:p>
        </w:tc>
        <w:tc>
          <w:tcPr>
            <w:tcW w:w="362"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18</w:t>
            </w:r>
          </w:p>
        </w:tc>
      </w:tr>
      <w:tr>
        <w:trPr/>
        <w:tc>
          <w:tcPr>
            <w:tcW w:w="755" w:type="dxa"/>
            <w:tcBorders/>
            <w:vAlign w:val="center"/>
          </w:tcPr>
          <w:p>
            <w:pPr>
              <w:pStyle w:val="TableContents"/>
              <w:bidi w:val="0"/>
              <w:spacing w:lineRule="auto" w:line="285" w:before="0" w:after="0"/>
              <w:ind w:left="0" w:right="0" w:hanging="0"/>
              <w:jc w:val="left"/>
              <w:rPr/>
            </w:pPr>
            <w:hyperlink w:anchor="ITEM3QUANTITATIVEANDQUALITATIVE_543894">
              <w:r>
                <w:rPr>
                  <w:rStyle w:val="InternetLink"/>
                  <w:rFonts w:ascii="Times New Roman;Times;serif" w:hAnsi="Times New Roman;Times;serif"/>
                  <w:b w:val="false"/>
                  <w:i w:val="false"/>
                  <w:caps w:val="false"/>
                  <w:smallCaps w:val="false"/>
                  <w:sz w:val="20"/>
                </w:rPr>
                <w:t>Item 3.</w:t>
              </w:r>
            </w:hyperlink>
            <w:r>
              <w:rPr>
                <w:rFonts w:ascii="Times New Roman;Times;serif" w:hAnsi="Times New Roman;Times;serif"/>
                <w:sz w:val="20"/>
              </w:rPr>
              <w:t xml:space="preserve"> </w:t>
            </w:r>
          </w:p>
        </w:tc>
        <w:tc>
          <w:tcPr>
            <w:tcW w:w="9088" w:type="dxa"/>
            <w:tcBorders/>
            <w:vAlign w:val="center"/>
          </w:tcPr>
          <w:p>
            <w:pPr>
              <w:pStyle w:val="TableContents"/>
              <w:bidi w:val="0"/>
              <w:spacing w:lineRule="auto" w:line="285" w:before="0" w:after="0"/>
              <w:ind w:left="0" w:right="0" w:hanging="0"/>
              <w:jc w:val="both"/>
              <w:rPr/>
            </w:pPr>
            <w:hyperlink w:anchor="ITEM3QUANTITATIVEANDQUALITATIVE_543894">
              <w:r>
                <w:rPr>
                  <w:rStyle w:val="InternetLink"/>
                  <w:rFonts w:ascii="Times New Roman;Times;serif" w:hAnsi="Times New Roman;Times;serif"/>
                  <w:b w:val="false"/>
                  <w:i w:val="false"/>
                  <w:caps w:val="false"/>
                  <w:smallCaps w:val="false"/>
                  <w:sz w:val="20"/>
                </w:rPr>
                <w:t>Quantitative and Qualitative Disclosures about Market Risk</w:t>
              </w:r>
            </w:hyperlink>
          </w:p>
        </w:tc>
        <w:tc>
          <w:tcPr>
            <w:tcW w:w="362"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25</w:t>
            </w:r>
          </w:p>
        </w:tc>
      </w:tr>
      <w:tr>
        <w:trPr/>
        <w:tc>
          <w:tcPr>
            <w:tcW w:w="755" w:type="dxa"/>
            <w:tcBorders/>
            <w:shd w:fill="CCEEFF" w:val="clear"/>
            <w:vAlign w:val="center"/>
          </w:tcPr>
          <w:p>
            <w:pPr>
              <w:pStyle w:val="TableContents"/>
              <w:bidi w:val="0"/>
              <w:spacing w:lineRule="auto" w:line="285" w:before="0" w:after="0"/>
              <w:ind w:left="0" w:right="0" w:hanging="0"/>
              <w:jc w:val="left"/>
              <w:rPr/>
            </w:pPr>
            <w:hyperlink w:anchor="ITEM4CONTROLSANDPROCEDURES_128146">
              <w:r>
                <w:rPr>
                  <w:rStyle w:val="InternetLink"/>
                  <w:rFonts w:ascii="Times New Roman;Times;serif" w:hAnsi="Times New Roman;Times;serif"/>
                  <w:b w:val="false"/>
                  <w:i w:val="false"/>
                  <w:caps w:val="false"/>
                  <w:smallCaps w:val="false"/>
                  <w:sz w:val="20"/>
                </w:rPr>
                <w:t>Item 4.</w:t>
              </w:r>
            </w:hyperlink>
            <w:r>
              <w:rPr>
                <w:rFonts w:ascii="Times New Roman;Times;serif" w:hAnsi="Times New Roman;Times;serif"/>
                <w:sz w:val="20"/>
              </w:rPr>
              <w:t xml:space="preserve"> </w:t>
            </w:r>
          </w:p>
        </w:tc>
        <w:tc>
          <w:tcPr>
            <w:tcW w:w="9088" w:type="dxa"/>
            <w:tcBorders/>
            <w:shd w:fill="CCEEFF" w:val="clear"/>
            <w:vAlign w:val="center"/>
          </w:tcPr>
          <w:p>
            <w:pPr>
              <w:pStyle w:val="TableContents"/>
              <w:bidi w:val="0"/>
              <w:spacing w:lineRule="auto" w:line="285" w:before="0" w:after="0"/>
              <w:ind w:left="0" w:right="0" w:hanging="0"/>
              <w:jc w:val="both"/>
              <w:rPr/>
            </w:pPr>
            <w:hyperlink w:anchor="ITEM4CONTROLSANDPROCEDURES_128146">
              <w:r>
                <w:rPr>
                  <w:rStyle w:val="InternetLink"/>
                  <w:rFonts w:ascii="Times New Roman;Times;serif" w:hAnsi="Times New Roman;Times;serif"/>
                  <w:b w:val="false"/>
                  <w:i w:val="false"/>
                  <w:caps w:val="false"/>
                  <w:smallCaps w:val="false"/>
                  <w:sz w:val="20"/>
                </w:rPr>
                <w:t>Controls and Procedures</w:t>
              </w:r>
            </w:hyperlink>
          </w:p>
        </w:tc>
        <w:tc>
          <w:tcPr>
            <w:tcW w:w="362"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25</w:t>
            </w:r>
          </w:p>
        </w:tc>
      </w:tr>
      <w:tr>
        <w:trPr/>
        <w:tc>
          <w:tcPr>
            <w:tcW w:w="755" w:type="dxa"/>
            <w:tcBorders/>
            <w:vAlign w:val="center"/>
          </w:tcPr>
          <w:p>
            <w:pPr>
              <w:pStyle w:val="TableContents"/>
              <w:bidi w:val="0"/>
              <w:spacing w:lineRule="auto" w:line="285" w:before="0" w:after="0"/>
              <w:ind w:left="0" w:right="0" w:hanging="0"/>
              <w:jc w:val="left"/>
              <w:rPr/>
            </w:pPr>
            <w:hyperlink w:anchor="PARTIIOTHERINFORMATION_875534">
              <w:r>
                <w:rPr>
                  <w:rStyle w:val="InternetLink"/>
                  <w:rFonts w:ascii="Times New Roman;Times;serif" w:hAnsi="Times New Roman;Times;serif"/>
                  <w:b w:val="false"/>
                  <w:i w:val="false"/>
                  <w:caps w:val="false"/>
                  <w:smallCaps w:val="false"/>
                  <w:sz w:val="20"/>
                </w:rPr>
                <w:t>Part II</w:t>
              </w:r>
            </w:hyperlink>
          </w:p>
        </w:tc>
        <w:tc>
          <w:tcPr>
            <w:tcW w:w="9088" w:type="dxa"/>
            <w:tcBorders/>
            <w:vAlign w:val="center"/>
          </w:tcPr>
          <w:p>
            <w:pPr>
              <w:pStyle w:val="TableContents"/>
              <w:bidi w:val="0"/>
              <w:spacing w:lineRule="auto" w:line="285" w:before="0" w:after="0"/>
              <w:ind w:left="0" w:right="0" w:hanging="0"/>
              <w:jc w:val="both"/>
              <w:rPr/>
            </w:pPr>
            <w:hyperlink w:anchor="PARTIIOTHERINFORMATION_875534">
              <w:r>
                <w:rPr>
                  <w:rStyle w:val="InternetLink"/>
                  <w:rFonts w:ascii="Times New Roman;Times;serif" w:hAnsi="Times New Roman;Times;serif"/>
                  <w:b w:val="false"/>
                  <w:i w:val="false"/>
                  <w:caps w:val="false"/>
                  <w:smallCaps w:val="false"/>
                  <w:sz w:val="20"/>
                </w:rPr>
                <w:t>Other Information</w:t>
              </w:r>
            </w:hyperlink>
          </w:p>
        </w:tc>
        <w:tc>
          <w:tcPr>
            <w:tcW w:w="362"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26</w:t>
            </w:r>
          </w:p>
        </w:tc>
      </w:tr>
      <w:tr>
        <w:trPr/>
        <w:tc>
          <w:tcPr>
            <w:tcW w:w="755" w:type="dxa"/>
            <w:tcBorders/>
            <w:shd w:fill="CCEEFF" w:val="clear"/>
            <w:vAlign w:val="center"/>
          </w:tcPr>
          <w:p>
            <w:pPr>
              <w:pStyle w:val="TableContents"/>
              <w:bidi w:val="0"/>
              <w:spacing w:lineRule="auto" w:line="285" w:before="0" w:after="0"/>
              <w:ind w:left="0" w:right="0" w:hanging="0"/>
              <w:jc w:val="left"/>
              <w:rPr/>
            </w:pPr>
            <w:hyperlink w:anchor="ITEM1LEGALPROCEEDINGS_628869">
              <w:r>
                <w:rPr>
                  <w:rStyle w:val="InternetLink"/>
                  <w:rFonts w:ascii="Times New Roman;Times;serif" w:hAnsi="Times New Roman;Times;serif"/>
                  <w:b w:val="false"/>
                  <w:i w:val="false"/>
                  <w:caps w:val="false"/>
                  <w:smallCaps w:val="false"/>
                  <w:sz w:val="20"/>
                </w:rPr>
                <w:t>Item 1.</w:t>
              </w:r>
            </w:hyperlink>
            <w:r>
              <w:rPr>
                <w:rFonts w:ascii="Times New Roman;Times;serif" w:hAnsi="Times New Roman;Times;serif"/>
                <w:sz w:val="20"/>
              </w:rPr>
              <w:t xml:space="preserve"> </w:t>
            </w:r>
          </w:p>
        </w:tc>
        <w:tc>
          <w:tcPr>
            <w:tcW w:w="9088" w:type="dxa"/>
            <w:tcBorders/>
            <w:shd w:fill="CCEEFF" w:val="clear"/>
            <w:vAlign w:val="center"/>
          </w:tcPr>
          <w:p>
            <w:pPr>
              <w:pStyle w:val="TableContents"/>
              <w:bidi w:val="0"/>
              <w:spacing w:lineRule="auto" w:line="285" w:before="0" w:after="0"/>
              <w:ind w:left="0" w:right="0" w:hanging="0"/>
              <w:jc w:val="both"/>
              <w:rPr/>
            </w:pPr>
            <w:hyperlink w:anchor="ITEM1LEGALPROCEEDINGS_628869">
              <w:r>
                <w:rPr>
                  <w:rStyle w:val="InternetLink"/>
                  <w:rFonts w:ascii="Times New Roman;Times;serif" w:hAnsi="Times New Roman;Times;serif"/>
                  <w:b w:val="false"/>
                  <w:i w:val="false"/>
                  <w:caps w:val="false"/>
                  <w:smallCaps w:val="false"/>
                  <w:sz w:val="20"/>
                </w:rPr>
                <w:t>Legal Proceedings</w:t>
              </w:r>
            </w:hyperlink>
          </w:p>
        </w:tc>
        <w:tc>
          <w:tcPr>
            <w:tcW w:w="362"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26</w:t>
            </w:r>
          </w:p>
        </w:tc>
      </w:tr>
      <w:tr>
        <w:trPr/>
        <w:tc>
          <w:tcPr>
            <w:tcW w:w="755" w:type="dxa"/>
            <w:tcBorders/>
            <w:vAlign w:val="center"/>
          </w:tcPr>
          <w:p>
            <w:pPr>
              <w:pStyle w:val="TableContents"/>
              <w:bidi w:val="0"/>
              <w:spacing w:lineRule="auto" w:line="285" w:before="0" w:after="0"/>
              <w:ind w:left="0" w:right="0" w:hanging="0"/>
              <w:jc w:val="left"/>
              <w:rPr/>
            </w:pPr>
            <w:hyperlink w:anchor="ITEM1A_RISK_FACTORS">
              <w:r>
                <w:rPr>
                  <w:rStyle w:val="InternetLink"/>
                  <w:rFonts w:ascii="Times New Roman;Times;serif" w:hAnsi="Times New Roman;Times;serif"/>
                  <w:b w:val="false"/>
                  <w:i w:val="false"/>
                  <w:caps w:val="false"/>
                  <w:smallCaps w:val="false"/>
                  <w:sz w:val="20"/>
                </w:rPr>
                <w:t>Item 1A.</w:t>
              </w:r>
            </w:hyperlink>
            <w:r>
              <w:rPr>
                <w:rFonts w:ascii="Times New Roman;Times;serif" w:hAnsi="Times New Roman;Times;serif"/>
                <w:sz w:val="20"/>
              </w:rPr>
              <w:t xml:space="preserve"> </w:t>
            </w:r>
          </w:p>
        </w:tc>
        <w:tc>
          <w:tcPr>
            <w:tcW w:w="9088" w:type="dxa"/>
            <w:tcBorders/>
            <w:vAlign w:val="center"/>
          </w:tcPr>
          <w:p>
            <w:pPr>
              <w:pStyle w:val="TableContents"/>
              <w:bidi w:val="0"/>
              <w:spacing w:lineRule="auto" w:line="285" w:before="0" w:after="0"/>
              <w:ind w:left="0" w:right="0" w:hanging="0"/>
              <w:jc w:val="both"/>
              <w:rPr/>
            </w:pPr>
            <w:hyperlink w:anchor="ITEM1A_RISK_FACTORS">
              <w:r>
                <w:rPr>
                  <w:rStyle w:val="InternetLink"/>
                  <w:rFonts w:ascii="Times New Roman;Times;serif" w:hAnsi="Times New Roman;Times;serif"/>
                  <w:b w:val="false"/>
                  <w:i w:val="false"/>
                  <w:caps w:val="false"/>
                  <w:smallCaps w:val="false"/>
                  <w:sz w:val="20"/>
                </w:rPr>
                <w:t>Risk Factors</w:t>
              </w:r>
            </w:hyperlink>
          </w:p>
        </w:tc>
        <w:tc>
          <w:tcPr>
            <w:tcW w:w="362"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26</w:t>
            </w:r>
          </w:p>
        </w:tc>
      </w:tr>
      <w:tr>
        <w:trPr/>
        <w:tc>
          <w:tcPr>
            <w:tcW w:w="755" w:type="dxa"/>
            <w:tcBorders/>
            <w:shd w:fill="CCEEFF" w:val="clear"/>
            <w:vAlign w:val="center"/>
          </w:tcPr>
          <w:p>
            <w:pPr>
              <w:pStyle w:val="TableContents"/>
              <w:bidi w:val="0"/>
              <w:spacing w:lineRule="auto" w:line="285" w:before="0" w:after="0"/>
              <w:ind w:left="0" w:right="0" w:hanging="0"/>
              <w:jc w:val="left"/>
              <w:rPr/>
            </w:pPr>
            <w:hyperlink w:anchor="ITEM2UNREGISTEREDSALESOFEQUITY_733918">
              <w:r>
                <w:rPr>
                  <w:rStyle w:val="InternetLink"/>
                  <w:rFonts w:ascii="Times New Roman;Times;serif" w:hAnsi="Times New Roman;Times;serif"/>
                  <w:b w:val="false"/>
                  <w:i w:val="false"/>
                  <w:caps w:val="false"/>
                  <w:smallCaps w:val="false"/>
                  <w:sz w:val="20"/>
                </w:rPr>
                <w:t>Item 2.</w:t>
              </w:r>
            </w:hyperlink>
            <w:r>
              <w:rPr>
                <w:rFonts w:ascii="Times New Roman;Times;serif" w:hAnsi="Times New Roman;Times;serif"/>
                <w:sz w:val="20"/>
              </w:rPr>
              <w:t xml:space="preserve"> </w:t>
            </w:r>
          </w:p>
        </w:tc>
        <w:tc>
          <w:tcPr>
            <w:tcW w:w="9088" w:type="dxa"/>
            <w:tcBorders/>
            <w:shd w:fill="CCEEFF" w:val="clear"/>
            <w:vAlign w:val="center"/>
          </w:tcPr>
          <w:p>
            <w:pPr>
              <w:pStyle w:val="TableContents"/>
              <w:bidi w:val="0"/>
              <w:spacing w:lineRule="auto" w:line="285" w:before="0" w:after="0"/>
              <w:ind w:left="0" w:right="0" w:hanging="0"/>
              <w:jc w:val="both"/>
              <w:rPr/>
            </w:pPr>
            <w:hyperlink w:anchor="ITEM2UNREGISTEREDSALESOFEQUITY_733918">
              <w:r>
                <w:rPr>
                  <w:rStyle w:val="InternetLink"/>
                  <w:rFonts w:ascii="Times New Roman;Times;serif" w:hAnsi="Times New Roman;Times;serif"/>
                  <w:b w:val="false"/>
                  <w:i w:val="false"/>
                  <w:caps w:val="false"/>
                  <w:smallCaps w:val="false"/>
                  <w:sz w:val="20"/>
                </w:rPr>
                <w:t>Unregistered Sales of Equity Securities and Use of Proceeds</w:t>
              </w:r>
            </w:hyperlink>
          </w:p>
        </w:tc>
        <w:tc>
          <w:tcPr>
            <w:tcW w:w="362"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26</w:t>
            </w:r>
          </w:p>
        </w:tc>
      </w:tr>
      <w:tr>
        <w:trPr/>
        <w:tc>
          <w:tcPr>
            <w:tcW w:w="755" w:type="dxa"/>
            <w:tcBorders/>
            <w:vAlign w:val="center"/>
          </w:tcPr>
          <w:p>
            <w:pPr>
              <w:pStyle w:val="TableContents"/>
              <w:bidi w:val="0"/>
              <w:spacing w:lineRule="auto" w:line="285" w:before="0" w:after="0"/>
              <w:ind w:left="0" w:right="0" w:hanging="0"/>
              <w:jc w:val="left"/>
              <w:rPr/>
            </w:pPr>
            <w:hyperlink w:anchor="ITEM3DEFAULTUPON_78011">
              <w:r>
                <w:rPr>
                  <w:rStyle w:val="InternetLink"/>
                  <w:rFonts w:ascii="Times New Roman;Times;serif" w:hAnsi="Times New Roman;Times;serif"/>
                  <w:b w:val="false"/>
                  <w:i w:val="false"/>
                  <w:caps w:val="false"/>
                  <w:smallCaps w:val="false"/>
                  <w:sz w:val="20"/>
                </w:rPr>
                <w:t>Item 3.</w:t>
              </w:r>
            </w:hyperlink>
            <w:r>
              <w:rPr>
                <w:rFonts w:ascii="Times New Roman;Times;serif" w:hAnsi="Times New Roman;Times;serif"/>
                <w:sz w:val="20"/>
              </w:rPr>
              <w:t xml:space="preserve"> </w:t>
            </w:r>
          </w:p>
        </w:tc>
        <w:tc>
          <w:tcPr>
            <w:tcW w:w="9088" w:type="dxa"/>
            <w:tcBorders/>
            <w:vAlign w:val="center"/>
          </w:tcPr>
          <w:p>
            <w:pPr>
              <w:pStyle w:val="TableContents"/>
              <w:bidi w:val="0"/>
              <w:spacing w:lineRule="auto" w:line="285" w:before="0" w:after="0"/>
              <w:ind w:left="0" w:right="0" w:hanging="0"/>
              <w:jc w:val="both"/>
              <w:rPr/>
            </w:pPr>
            <w:hyperlink w:anchor="ITEM3DEFAULTUPON_78011">
              <w:r>
                <w:rPr>
                  <w:rStyle w:val="InternetLink"/>
                  <w:rFonts w:ascii="Times New Roman;Times;serif" w:hAnsi="Times New Roman;Times;serif"/>
                  <w:b w:val="false"/>
                  <w:i w:val="false"/>
                  <w:caps w:val="false"/>
                  <w:smallCaps w:val="false"/>
                  <w:sz w:val="20"/>
                </w:rPr>
                <w:t>Defaults Upon Senior Securities</w:t>
              </w:r>
            </w:hyperlink>
          </w:p>
        </w:tc>
        <w:tc>
          <w:tcPr>
            <w:tcW w:w="362"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26</w:t>
            </w:r>
          </w:p>
        </w:tc>
      </w:tr>
      <w:tr>
        <w:trPr/>
        <w:tc>
          <w:tcPr>
            <w:tcW w:w="755" w:type="dxa"/>
            <w:tcBorders/>
            <w:shd w:fill="CCEEFF" w:val="clear"/>
            <w:vAlign w:val="center"/>
          </w:tcPr>
          <w:p>
            <w:pPr>
              <w:pStyle w:val="TableContents"/>
              <w:bidi w:val="0"/>
              <w:spacing w:lineRule="auto" w:line="285" w:before="0" w:after="0"/>
              <w:ind w:left="0" w:right="0" w:hanging="0"/>
              <w:jc w:val="left"/>
              <w:rPr/>
            </w:pPr>
            <w:hyperlink w:anchor="ITEM4MINESAFETYDISCLOSURES_886185">
              <w:r>
                <w:rPr>
                  <w:rStyle w:val="InternetLink"/>
                  <w:rFonts w:ascii="Times New Roman;Times;serif" w:hAnsi="Times New Roman;Times;serif"/>
                  <w:b w:val="false"/>
                  <w:i w:val="false"/>
                  <w:caps w:val="false"/>
                  <w:smallCaps w:val="false"/>
                  <w:sz w:val="20"/>
                </w:rPr>
                <w:t>Item 4.</w:t>
              </w:r>
            </w:hyperlink>
            <w:r>
              <w:rPr>
                <w:rFonts w:ascii="Times New Roman;Times;serif" w:hAnsi="Times New Roman;Times;serif"/>
                <w:sz w:val="20"/>
              </w:rPr>
              <w:t xml:space="preserve"> </w:t>
            </w:r>
          </w:p>
        </w:tc>
        <w:tc>
          <w:tcPr>
            <w:tcW w:w="9088" w:type="dxa"/>
            <w:tcBorders/>
            <w:shd w:fill="CCEEFF" w:val="clear"/>
            <w:vAlign w:val="center"/>
          </w:tcPr>
          <w:p>
            <w:pPr>
              <w:pStyle w:val="TableContents"/>
              <w:bidi w:val="0"/>
              <w:spacing w:lineRule="auto" w:line="285" w:before="0" w:after="0"/>
              <w:ind w:left="0" w:right="0" w:hanging="0"/>
              <w:jc w:val="both"/>
              <w:rPr/>
            </w:pPr>
            <w:hyperlink w:anchor="ITEM4MINESAFETYDISCLOSURES_886185">
              <w:r>
                <w:rPr>
                  <w:rStyle w:val="InternetLink"/>
                  <w:rFonts w:ascii="Times New Roman;Times;serif" w:hAnsi="Times New Roman;Times;serif"/>
                  <w:b w:val="false"/>
                  <w:i w:val="false"/>
                  <w:caps w:val="false"/>
                  <w:smallCaps w:val="false"/>
                  <w:sz w:val="20"/>
                </w:rPr>
                <w:t>Mine Safety Disclosures</w:t>
              </w:r>
            </w:hyperlink>
          </w:p>
        </w:tc>
        <w:tc>
          <w:tcPr>
            <w:tcW w:w="362"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26</w:t>
            </w:r>
          </w:p>
        </w:tc>
      </w:tr>
      <w:tr>
        <w:trPr/>
        <w:tc>
          <w:tcPr>
            <w:tcW w:w="755" w:type="dxa"/>
            <w:tcBorders/>
            <w:vAlign w:val="center"/>
          </w:tcPr>
          <w:p>
            <w:pPr>
              <w:pStyle w:val="TableContents"/>
              <w:bidi w:val="0"/>
              <w:spacing w:lineRule="auto" w:line="285" w:before="0" w:after="0"/>
              <w:ind w:left="0" w:right="0" w:hanging="0"/>
              <w:jc w:val="left"/>
              <w:rPr/>
            </w:pPr>
            <w:hyperlink w:anchor="ITEM5OTHERINFORMATION_858772">
              <w:r>
                <w:rPr>
                  <w:rStyle w:val="InternetLink"/>
                  <w:rFonts w:ascii="Times New Roman;Times;serif" w:hAnsi="Times New Roman;Times;serif"/>
                  <w:b w:val="false"/>
                  <w:i w:val="false"/>
                  <w:caps w:val="false"/>
                  <w:smallCaps w:val="false"/>
                  <w:sz w:val="20"/>
                </w:rPr>
                <w:t>Item 5.</w:t>
              </w:r>
            </w:hyperlink>
            <w:r>
              <w:rPr>
                <w:rFonts w:ascii="Times New Roman;Times;serif" w:hAnsi="Times New Roman;Times;serif"/>
                <w:sz w:val="20"/>
              </w:rPr>
              <w:t xml:space="preserve"> </w:t>
            </w:r>
          </w:p>
        </w:tc>
        <w:tc>
          <w:tcPr>
            <w:tcW w:w="9088" w:type="dxa"/>
            <w:tcBorders/>
            <w:vAlign w:val="center"/>
          </w:tcPr>
          <w:p>
            <w:pPr>
              <w:pStyle w:val="TableContents"/>
              <w:bidi w:val="0"/>
              <w:spacing w:lineRule="auto" w:line="285" w:before="0" w:after="0"/>
              <w:ind w:left="0" w:right="0" w:hanging="0"/>
              <w:jc w:val="both"/>
              <w:rPr/>
            </w:pPr>
            <w:hyperlink w:anchor="ITEM5OTHERINFORMATION_858772">
              <w:r>
                <w:rPr>
                  <w:rStyle w:val="InternetLink"/>
                  <w:rFonts w:ascii="Times New Roman;Times;serif" w:hAnsi="Times New Roman;Times;serif"/>
                  <w:b w:val="false"/>
                  <w:i w:val="false"/>
                  <w:caps w:val="false"/>
                  <w:smallCaps w:val="false"/>
                  <w:sz w:val="20"/>
                </w:rPr>
                <w:t>Other Information</w:t>
              </w:r>
            </w:hyperlink>
          </w:p>
        </w:tc>
        <w:tc>
          <w:tcPr>
            <w:tcW w:w="362"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26</w:t>
            </w:r>
          </w:p>
        </w:tc>
      </w:tr>
      <w:tr>
        <w:trPr/>
        <w:tc>
          <w:tcPr>
            <w:tcW w:w="755" w:type="dxa"/>
            <w:tcBorders/>
            <w:shd w:fill="CCEEFF" w:val="clear"/>
            <w:vAlign w:val="center"/>
          </w:tcPr>
          <w:p>
            <w:pPr>
              <w:pStyle w:val="TableContents"/>
              <w:bidi w:val="0"/>
              <w:spacing w:lineRule="auto" w:line="285" w:before="0" w:after="0"/>
              <w:ind w:left="0" w:right="0" w:hanging="0"/>
              <w:jc w:val="left"/>
              <w:rPr/>
            </w:pPr>
            <w:hyperlink w:anchor="EXHIBITS_650020">
              <w:r>
                <w:rPr>
                  <w:rStyle w:val="InternetLink"/>
                  <w:rFonts w:ascii="Times New Roman;Times;serif" w:hAnsi="Times New Roman;Times;serif"/>
                  <w:b w:val="false"/>
                  <w:i w:val="false"/>
                  <w:caps w:val="false"/>
                  <w:smallCaps w:val="false"/>
                  <w:sz w:val="20"/>
                </w:rPr>
                <w:t>Item 6.</w:t>
              </w:r>
            </w:hyperlink>
            <w:r>
              <w:rPr>
                <w:rFonts w:ascii="Times New Roman;Times;serif" w:hAnsi="Times New Roman;Times;serif"/>
                <w:sz w:val="20"/>
              </w:rPr>
              <w:t xml:space="preserve"> </w:t>
            </w:r>
          </w:p>
        </w:tc>
        <w:tc>
          <w:tcPr>
            <w:tcW w:w="9088" w:type="dxa"/>
            <w:tcBorders/>
            <w:shd w:fill="CCEEFF" w:val="clear"/>
            <w:vAlign w:val="center"/>
          </w:tcPr>
          <w:p>
            <w:pPr>
              <w:pStyle w:val="TableContents"/>
              <w:bidi w:val="0"/>
              <w:spacing w:lineRule="auto" w:line="285" w:before="0" w:after="0"/>
              <w:ind w:left="0" w:right="0" w:hanging="0"/>
              <w:jc w:val="both"/>
              <w:rPr/>
            </w:pPr>
            <w:hyperlink w:anchor="EXHIBITS_650020">
              <w:r>
                <w:rPr>
                  <w:rStyle w:val="InternetLink"/>
                  <w:rFonts w:ascii="Times New Roman;Times;serif" w:hAnsi="Times New Roman;Times;serif"/>
                  <w:b w:val="false"/>
                  <w:i w:val="false"/>
                  <w:caps w:val="false"/>
                  <w:smallCaps w:val="false"/>
                  <w:sz w:val="20"/>
                </w:rPr>
                <w:t>Exhibits</w:t>
              </w:r>
            </w:hyperlink>
          </w:p>
        </w:tc>
        <w:tc>
          <w:tcPr>
            <w:tcW w:w="362"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26</w:t>
            </w:r>
          </w:p>
        </w:tc>
      </w:tr>
      <w:tr>
        <w:trPr/>
        <w:tc>
          <w:tcPr>
            <w:tcW w:w="9843" w:type="dxa"/>
            <w:gridSpan w:val="2"/>
            <w:tcBorders/>
            <w:vAlign w:val="center"/>
          </w:tcPr>
          <w:p>
            <w:pPr>
              <w:pStyle w:val="TableContents"/>
              <w:bidi w:val="0"/>
              <w:spacing w:lineRule="auto" w:line="285" w:before="0" w:after="0"/>
              <w:ind w:left="0" w:right="0" w:hanging="0"/>
              <w:jc w:val="left"/>
              <w:rPr/>
            </w:pPr>
            <w:hyperlink w:anchor="SIGNATURES_188328">
              <w:r>
                <w:rPr>
                  <w:rStyle w:val="InternetLink"/>
                  <w:rFonts w:ascii="Times New Roman;Times;serif" w:hAnsi="Times New Roman;Times;serif"/>
                  <w:b w:val="false"/>
                  <w:i w:val="false"/>
                  <w:caps w:val="false"/>
                  <w:smallCaps w:val="false"/>
                  <w:sz w:val="20"/>
                </w:rPr>
                <w:t>Signatures</w:t>
              </w:r>
            </w:hyperlink>
          </w:p>
        </w:tc>
        <w:tc>
          <w:tcPr>
            <w:tcW w:w="362"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28</w:t>
            </w:r>
          </w:p>
        </w:tc>
      </w:tr>
    </w:tbl>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pPr>
      <w:r>
        <w:rPr/>
        <w:t>​</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1</w:t>
      </w:r>
    </w:p>
    <w:p>
      <w:pPr>
        <w:pStyle w:val="TextBody"/>
        <w:bidi w:val="0"/>
        <w:spacing w:lineRule="auto" w:line="285"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r>
        <w:rPr>
          <w:rFonts w:ascii="Times New Roman;Times;serif" w:hAnsi="Times New Roman;Times;serif"/>
          <w:color w:val="0563C1"/>
          <w:sz w:val="20"/>
        </w:rPr>
        <w:t xml:space="preserve"> </w:t>
      </w:r>
    </w:p>
    <w:p>
      <w:pPr>
        <w:pStyle w:val="TextBody"/>
        <w:bidi w:val="0"/>
        <w:spacing w:lineRule="auto" w:line="285" w:before="0" w:after="160"/>
        <w:ind w:left="0" w:right="0" w:hanging="0"/>
        <w:jc w:val="both"/>
        <w:rPr>
          <w:rFonts w:ascii="Times New Roman;Times;serif" w:hAnsi="Times New Roman;Times;serif"/>
          <w:i/>
          <w:sz w:val="20"/>
        </w:rPr>
      </w:pPr>
      <w:r>
        <w:rPr>
          <w:rFonts w:ascii="Times New Roman;Times;serif" w:hAnsi="Times New Roman;Times;serif"/>
          <w:i/>
          <w:sz w:val="20"/>
        </w:rPr>
        <w:t>Unless the context requires otherwise, references in this Quarterly Report on Form 10-Q for the quarterly period ended June 30, 2026 (this “Report”) to “we,” “us,” “the Company,” “MetaVia,” “the Registrant” and “our” refer to MetaVia Inc. and its subsidiaries.</w:t>
      </w:r>
    </w:p>
    <w:p>
      <w:pPr>
        <w:pStyle w:val="TextBody"/>
        <w:bidi w:val="0"/>
        <w:spacing w:lineRule="auto" w:line="285" w:before="0" w:after="160"/>
        <w:ind w:left="0" w:right="0" w:hanging="0"/>
        <w:jc w:val="center"/>
        <w:rPr>
          <w:rFonts w:ascii="Times New Roman;Times;serif" w:hAnsi="Times New Roman;Times;serif"/>
          <w:b/>
          <w:sz w:val="20"/>
        </w:rPr>
      </w:pPr>
      <w:bookmarkStart w:id="39" w:name="Special_Note_Forward_Looking_Statements"/>
      <w:bookmarkEnd w:id="39"/>
      <w:r>
        <w:rPr>
          <w:rFonts w:ascii="Times New Roman;Times;serif" w:hAnsi="Times New Roman;Times;serif"/>
          <w:b/>
          <w:sz w:val="20"/>
        </w:rPr>
        <w:t>Special Note Regarding Forward-Looking Statements</w:t>
      </w:r>
    </w:p>
    <w:p>
      <w:pPr>
        <w:pStyle w:val="TextBody"/>
        <w:bidi w:val="0"/>
        <w:spacing w:lineRule="auto" w:line="285" w:before="0" w:after="160"/>
        <w:ind w:left="0" w:right="0" w:hanging="0"/>
        <w:jc w:val="both"/>
        <w:rPr>
          <w:rFonts w:ascii="Times New Roman;Times;serif" w:hAnsi="Times New Roman;Times;serif"/>
          <w:sz w:val="20"/>
        </w:rPr>
      </w:pPr>
      <w:r>
        <w:rPr>
          <w:rFonts w:ascii="Times New Roman;Times;serif" w:hAnsi="Times New Roman;Times;serif"/>
          <w:sz w:val="20"/>
        </w:rPr>
        <w:t xml:space="preserve">This Report contains “forward-looking statements” within the meaning of the safe harbor provisions of Section 27A of the Securities Act of 1933, as amended (the “Securities Act”), and Section 21E of the Securities Exchange Act of 1934, as amended (the “Exchange Act”). </w:t>
      </w:r>
      <w:r>
        <w:rPr>
          <w:rFonts w:ascii="Times New Roman;Times;serif" w:hAnsi="Times New Roman;Times;serif"/>
          <w:sz w:val="20"/>
          <w:shd w:fill="FFFFFF" w:val="clear"/>
        </w:rPr>
        <w:t xml:space="preserve">All statements that address future operating performance, events or developments that we expect or anticipate will occur in the future are forward-looking statements, including without limitation, our </w:t>
      </w:r>
      <w:r>
        <w:rPr>
          <w:rFonts w:ascii="Times New Roman;Times;serif" w:hAnsi="Times New Roman;Times;serif"/>
          <w:sz w:val="20"/>
        </w:rPr>
        <w:t>expectations regarding our ability to execute our commercial strategy; our expectations regarding the sufficiency of our existing cash and cash equivalents on hand to fund our operations; the timeline for regulatory submissions, regulatory steps and potential regulatory approval</w:t>
      </w:r>
      <w:r>
        <w:rPr>
          <w:rFonts w:ascii="Times New Roman;Times;serif" w:hAnsi="Times New Roman;Times;serif"/>
          <w:sz w:val="20"/>
          <w:shd w:fill="FFFFFF" w:val="clear"/>
        </w:rPr>
        <w:t xml:space="preserve"> of our current and future product candidates; the ability to realize the benefits of the license agreement with Dong-A ST Co., Ltd., a related party (“Dong-A ST”), including the impact on our future financial and operating results; the ability to integrate the product candidates into our business in a timely and cost-efficient manner; the cooperation of our contract manufacturers, clinical study partners and others involved in the development of our current and future product candidates; our ability to initiate clinical trials on a timely basis; our planned clinical trials and our ability to recruit subjects for our clinical trials; the costs related to the license agreement, known and unknown, including costs of any litigation or regulatory actions relating to the license agreement; the changes in applicable laws or regulations; and the effects of changes to our stock price on the terms of the license agreement and any future fundraising and other risks and uncertainties described in this Report and in our Annual Report on Form 10-K for the fiscal year ended December 31, 2025 (</w:t>
      </w:r>
      <w:r>
        <w:rPr>
          <w:rFonts w:ascii="Times New Roman;Times;serif" w:hAnsi="Times New Roman;Times;serif"/>
          <w:sz w:val="20"/>
        </w:rPr>
        <w:t>“</w:t>
      </w:r>
      <w:r>
        <w:rPr>
          <w:rFonts w:ascii="Times New Roman;Times;serif" w:hAnsi="Times New Roman;Times;serif"/>
          <w:sz w:val="20"/>
          <w:shd w:fill="FFFFFF" w:val="clear"/>
        </w:rPr>
        <w:t>2025 Form 10-K</w:t>
      </w:r>
      <w:r>
        <w:rPr>
          <w:rFonts w:ascii="Times New Roman;Times;serif" w:hAnsi="Times New Roman;Times;serif"/>
          <w:sz w:val="20"/>
        </w:rPr>
        <w:t>”</w:t>
      </w:r>
      <w:r>
        <w:rPr>
          <w:rFonts w:ascii="Times New Roman;Times;serif" w:hAnsi="Times New Roman;Times;serif"/>
          <w:sz w:val="20"/>
          <w:shd w:fill="FFFFFF" w:val="clear"/>
        </w:rPr>
        <w:t xml:space="preserve">), and in our other filings with the Securities and Exchange Commission (the “SEC”). </w:t>
      </w:r>
    </w:p>
    <w:p>
      <w:pPr>
        <w:pStyle w:val="TextBody"/>
        <w:bidi w:val="0"/>
        <w:spacing w:lineRule="auto" w:line="285" w:before="0" w:after="160"/>
        <w:ind w:left="0" w:right="0" w:hanging="0"/>
        <w:jc w:val="both"/>
        <w:rPr>
          <w:rFonts w:ascii="Times New Roman;Times;serif" w:hAnsi="Times New Roman;Times;serif"/>
          <w:sz w:val="20"/>
        </w:rPr>
      </w:pPr>
      <w:r>
        <w:rPr>
          <w:rFonts w:ascii="Times New Roman;Times;serif" w:hAnsi="Times New Roman;Times;serif"/>
          <w:sz w:val="20"/>
          <w:shd w:fill="FFFFFF" w:val="clear"/>
        </w:rPr>
        <w:t>Forward-looking statements are based on management’s current expectations and assumptions about future events, which are inhere</w:t>
      </w:r>
      <w:r>
        <w:rPr>
          <w:rFonts w:ascii="Times New Roman;Times;serif" w:hAnsi="Times New Roman;Times;serif"/>
          <w:sz w:val="20"/>
        </w:rPr>
        <w:t xml:space="preserve">ntly subject to uncertainties, risks and changes in circumstances that are difficult to predict. These statements may be identified by words such as </w:t>
      </w:r>
      <w:r>
        <w:rPr>
          <w:rFonts w:ascii="Times New Roman;Times;serif" w:hAnsi="Times New Roman;Times;serif"/>
          <w:sz w:val="20"/>
          <w:shd w:fill="FFFFFF" w:val="clear"/>
        </w:rPr>
        <w:t>“anticipate,” “believe,” “continue,” “could,” “estimate,” “expect,” “intend,” “may,” “ongoing,” “plan,” “potential,” “predict,” “project,” “should,” “will,” “would” or the negative of these terms or other comparable terminology, although not all forward-looking statements contain these words. In addition, statements that “we believe,” “we expect,” “we anticipate” and similar statements reflect our beliefs and opinions on the relevant subject. These statements are based upon information available to us as of the date of this Report and management believes that these forward-looking statements are reasonable as and when made. However, you should not place undue reliance on forward-looking statements because they speak only as of the date when made. We undertake no obligation to update or revise forward-looking statements to reflect changed assumptions, the occurrence of unanticipated events or changes to future operating results or expectations, except as required by law.</w:t>
      </w:r>
    </w:p>
    <w:p>
      <w:pPr>
        <w:pStyle w:val="TextBody"/>
        <w:bidi w:val="0"/>
        <w:spacing w:lineRule="auto" w:line="285" w:before="0" w:after="160"/>
        <w:ind w:left="0" w:right="0" w:hanging="0"/>
        <w:jc w:val="both"/>
        <w:rPr>
          <w:rFonts w:ascii="Times New Roman;Times;serif" w:hAnsi="Times New Roman;Times;serif"/>
          <w:sz w:val="20"/>
          <w:shd w:fill="FFFFFF" w:val="clear"/>
        </w:rPr>
      </w:pPr>
      <w:r>
        <w:rPr>
          <w:rFonts w:ascii="Times New Roman;Times;serif" w:hAnsi="Times New Roman;Times;serif"/>
          <w:sz w:val="20"/>
          <w:shd w:fill="FFFFFF" w:val="clear"/>
        </w:rPr>
        <w:t>Forward-looking statements are subject to a number of risks and uncertainties, and actual results, developments or events could differ materially from those disclosed in the forward-looking statements, including without limitation, the possibility that regulatory authorities do not accept our applications or approve the marketing of our products, the possibility we may be unable to raise the funds necessary for the development and commercialization of our products, and those described in this Report and in our other filings with the SEC.</w:t>
      </w:r>
    </w:p>
    <w:p>
      <w:pPr>
        <w:pStyle w:val="TextBody"/>
        <w:bidi w:val="0"/>
        <w:spacing w:lineRule="auto" w:line="285" w:before="0" w:after="160"/>
        <w:ind w:left="0" w:right="0" w:hanging="0"/>
        <w:jc w:val="both"/>
        <w:rPr>
          <w:rFonts w:ascii="Times New Roman;Times;serif" w:hAnsi="Times New Roman;Times;serif"/>
          <w:sz w:val="20"/>
          <w:shd w:fill="FFFFFF" w:val="clear"/>
        </w:rPr>
      </w:pPr>
      <w:r>
        <w:rPr>
          <w:rFonts w:ascii="Times New Roman;Times;serif" w:hAnsi="Times New Roman;Times;serif"/>
          <w:sz w:val="20"/>
          <w:shd w:fill="FFFFFF" w:val="clear"/>
        </w:rPr>
        <w:t>We operate in an evolving environment. New risk factors and uncertainties may emerge from time to time, and it is not possible for us to predict all risk factors and uncertainties. We qualify all of our forward-looking statements by these cautionary statements.</w:t>
      </w:r>
    </w:p>
    <w:p>
      <w:pPr>
        <w:pStyle w:val="TextBody"/>
        <w:bidi w:val="0"/>
        <w:spacing w:lineRule="auto" w:line="285" w:before="0" w:after="0"/>
        <w:ind w:left="0" w:right="0" w:hanging="0"/>
        <w:jc w:val="left"/>
        <w:rPr/>
      </w:pPr>
      <w:r>
        <w:rPr/>
        <w:t>​</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2</w:t>
      </w:r>
    </w:p>
    <w:p>
      <w:pPr>
        <w:pStyle w:val="TextBody"/>
        <w:bidi w:val="0"/>
        <w:spacing w:lineRule="auto" w:line="285"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r>
        <w:rPr>
          <w:rFonts w:ascii="Times New Roman;Times;serif" w:hAnsi="Times New Roman;Times;serif"/>
          <w:color w:val="0563C1"/>
          <w:sz w:val="20"/>
        </w:rPr>
        <w:t xml:space="preserve"> </w:t>
      </w:r>
    </w:p>
    <w:p>
      <w:pPr>
        <w:pStyle w:val="TextBody"/>
        <w:bidi w:val="0"/>
        <w:spacing w:lineRule="auto" w:line="285" w:before="0" w:after="160"/>
        <w:ind w:left="0" w:right="0" w:hanging="0"/>
        <w:jc w:val="left"/>
        <w:rPr>
          <w:rFonts w:ascii="Times New Roman;Times;serif" w:hAnsi="Times New Roman;Times;serif"/>
          <w:b/>
          <w:sz w:val="20"/>
        </w:rPr>
      </w:pPr>
      <w:bookmarkStart w:id="40" w:name="PARTIFINANCIALINFORMATION_483013"/>
      <w:bookmarkStart w:id="41" w:name="_775c69a7_d7a0_4bce_99c8_e7bce72e5cf9"/>
      <w:bookmarkEnd w:id="40"/>
      <w:bookmarkEnd w:id="41"/>
      <w:r>
        <w:rPr>
          <w:rFonts w:ascii="Times New Roman;Times;serif" w:hAnsi="Times New Roman;Times;serif"/>
          <w:b/>
          <w:sz w:val="20"/>
        </w:rPr>
        <w:t>Part I - Financial Information</w:t>
      </w:r>
    </w:p>
    <w:p>
      <w:pPr>
        <w:pStyle w:val="TextBody"/>
        <w:bidi w:val="0"/>
        <w:spacing w:lineRule="auto" w:line="285" w:before="0" w:after="0"/>
        <w:ind w:left="0" w:right="0" w:hanging="0"/>
        <w:jc w:val="left"/>
        <w:rPr>
          <w:rFonts w:ascii="Times New Roman;Times;serif" w:hAnsi="Times New Roman;Times;serif"/>
          <w:sz w:val="20"/>
        </w:rPr>
      </w:pPr>
      <w:bookmarkStart w:id="42" w:name="ITEM1FINANCIALSTATEMENTS_386115"/>
      <w:bookmarkStart w:id="43" w:name="DSPFPageNumberArea"/>
      <w:bookmarkEnd w:id="42"/>
      <w:bookmarkEnd w:id="43"/>
      <w:r>
        <w:rPr>
          <w:rFonts w:ascii="Times New Roman;Times;serif" w:hAnsi="Times New Roman;Times;serif"/>
          <w:b/>
          <w:i w:val="false"/>
          <w:caps w:val="false"/>
          <w:smallCaps w:val="false"/>
          <w:sz w:val="20"/>
        </w:rPr>
        <w:t>Item 1.</w:t>
      </w:r>
      <w:r>
        <w:rPr>
          <w:rFonts w:ascii="Times New Roman;Times;serif" w:hAnsi="Times New Roman;Times;serif"/>
          <w:b/>
          <w:sz w:val="20"/>
        </w:rPr>
        <w:t>Financial Statements</w:t>
      </w:r>
    </w:p>
    <w:p>
      <w:pPr>
        <w:pStyle w:val="TextBody"/>
        <w:bidi w:val="0"/>
        <w:spacing w:lineRule="auto" w:line="285" w:before="0" w:after="0"/>
        <w:ind w:left="0" w:right="0" w:hanging="0"/>
        <w:jc w:val="center"/>
        <w:rPr/>
      </w:pPr>
      <w:r>
        <w:rPr/>
        <w:t>​</w:t>
      </w:r>
    </w:p>
    <w:p>
      <w:pPr>
        <w:pStyle w:val="TextBody"/>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MetaVia Inc.</w:t>
      </w:r>
    </w:p>
    <w:p>
      <w:pPr>
        <w:pStyle w:val="TextBody"/>
        <w:bidi w:val="0"/>
        <w:spacing w:lineRule="auto" w:line="285" w:before="0" w:after="0"/>
        <w:ind w:left="0" w:right="0" w:hanging="0"/>
        <w:jc w:val="center"/>
        <w:rPr>
          <w:rFonts w:ascii="Times New Roman;Times;serif" w:hAnsi="Times New Roman;Times;serif"/>
          <w:b/>
          <w:sz w:val="20"/>
        </w:rPr>
      </w:pPr>
      <w:bookmarkStart w:id="44" w:name="BalanceSheets_383724"/>
      <w:bookmarkEnd w:id="44"/>
      <w:r>
        <w:rPr>
          <w:rFonts w:ascii="Times New Roman;Times;serif" w:hAnsi="Times New Roman;Times;serif"/>
          <w:b/>
          <w:sz w:val="20"/>
        </w:rPr>
        <w:t>Condensed Consolidated Balance Sheets</w:t>
      </w:r>
    </w:p>
    <w:p>
      <w:pPr>
        <w:pStyle w:val="TextBody"/>
        <w:bidi w:val="0"/>
        <w:spacing w:lineRule="auto" w:line="285" w:before="0" w:after="0"/>
        <w:ind w:left="0" w:right="0" w:hanging="0"/>
        <w:jc w:val="center"/>
        <w:rPr>
          <w:rFonts w:ascii="Times New Roman;Times;serif" w:hAnsi="Times New Roman;Times;serif"/>
          <w:sz w:val="16"/>
        </w:rPr>
      </w:pPr>
      <w:r>
        <w:rPr>
          <w:rFonts w:ascii="Times New Roman;Times;serif" w:hAnsi="Times New Roman;Times;serif"/>
          <w:sz w:val="16"/>
        </w:rPr>
        <w:t>(Unaudited - In thousands, except share and per share amounts)</w:t>
      </w:r>
    </w:p>
    <w:p>
      <w:pPr>
        <w:pStyle w:val="TextBody"/>
        <w:bidi w:val="0"/>
        <w:spacing w:lineRule="auto" w:line="285" w:before="0" w:after="0"/>
        <w:ind w:left="0" w:right="0" w:hanging="0"/>
        <w:jc w:val="center"/>
        <w:rPr/>
      </w:pPr>
      <w:r>
        <w:rPr/>
        <w:t>​</w:t>
      </w:r>
    </w:p>
    <w:p>
      <w:pPr>
        <w:pStyle w:val="Normal"/>
        <w:bidi w:val="0"/>
        <w:spacing w:before="0" w:after="0"/>
        <w:jc w:val="left"/>
        <w:rPr>
          <w:sz w:val="4"/>
          <w:szCs w:val="4"/>
        </w:rPr>
      </w:pPr>
      <w:r>
        <w:rPr>
          <w:sz w:val="4"/>
          <w:szCs w:val="4"/>
        </w:rPr>
      </w:r>
      <w:bookmarkStart w:id="45" w:name="Tc_PojnJu34V0SzNL2fJjoIgA_30_5"/>
      <w:bookmarkStart w:id="46" w:name="Tc_Fwksj4XbcEG2s7x3rzeUDw_30_2"/>
      <w:bookmarkStart w:id="47" w:name="Tc_ZcJWyh_050GKSSfcU_-O6A_30_0"/>
      <w:bookmarkStart w:id="48" w:name="Tc_OM7C-U7Nvku59q13bq3SVg_29_0"/>
      <w:bookmarkStart w:id="49" w:name="Tc_5vqb8h97cUKymWO5oaTgzw_28_0"/>
      <w:bookmarkStart w:id="50" w:name="Tc_FENG9Ed2jkqvRa4O_svwcw_27_0"/>
      <w:bookmarkStart w:id="51" w:name="Tc_k7BCrdWYukCPDi840hzi5g_26_0"/>
      <w:bookmarkStart w:id="52" w:name="Tc_bikzddLLE02NSgT89Wh0kA_25_0"/>
      <w:bookmarkStart w:id="53" w:name="Tc_dnlAQHzpMk6eCOhCVjoI9Q_24_0"/>
      <w:bookmarkStart w:id="54" w:name="Tc_9obRE8vc_0appzXGYbtflA_23_0"/>
      <w:bookmarkStart w:id="55" w:name="Tc_DVJm9mekLk-Ttno2hoT4Iw_22_0"/>
      <w:bookmarkStart w:id="56" w:name="Tc_ihKqxH8d3U-JIXVaYGGG-Q_21_0"/>
      <w:bookmarkStart w:id="57" w:name="Tc_8n-iVnzYnkqsEgUegLroQg_20_0"/>
      <w:bookmarkStart w:id="58" w:name="Tc_cdjFdxPzi0uDsF2XmVvpag_19_0"/>
      <w:bookmarkStart w:id="59" w:name="Tc_pXZomuxweUWgoWvNVxB6nA_17_0"/>
      <w:bookmarkStart w:id="60" w:name="Tc_dBhUvVn7PESsQDq5JbZWlw_16_0"/>
      <w:bookmarkStart w:id="61" w:name="Tc_TLQ5EVdnPECWMWTY1gdYew_15_0"/>
      <w:bookmarkStart w:id="62" w:name="Tc_hNWva4emy0ip4Ly28Em1lA_14_5"/>
      <w:bookmarkStart w:id="63" w:name="Tc_rDhM4kKDAESkYJSTVq7dSg_14_2"/>
      <w:bookmarkStart w:id="64" w:name="Tc_Ovcgs8e8QUux-LRx159vpQ_14_0"/>
      <w:bookmarkStart w:id="65" w:name="Tc_IRNBwQ2nmE6xqf1gUd8J3A_13_0"/>
      <w:bookmarkStart w:id="66" w:name="Tc_uIw43Ora8Ey90Ou-1vYofg_12_0"/>
      <w:bookmarkStart w:id="67" w:name="Tc_0gaUOubXf0-G_DePg2-JAg_11_5"/>
      <w:bookmarkStart w:id="68" w:name="Tc_x8nH9IXRkEKX68KFOEbIAA_11_2"/>
      <w:bookmarkStart w:id="69" w:name="Tc_imbPkAkV30K4-S7CWd741w_11_0"/>
      <w:bookmarkStart w:id="70" w:name="Tc_opnxinQFGkScNHCCrOLrgQ_10_0"/>
      <w:bookmarkStart w:id="71" w:name="Tc_HPE3SKWrYkGHABIPzAww2Q_9_0"/>
      <w:bookmarkStart w:id="72" w:name="Tc_NphNsZg55EaHyJNf0fCR1w_8_0"/>
      <w:bookmarkStart w:id="73" w:name="Tc_7ItUwBLZBEm821A8jgeraA_7_0"/>
      <w:bookmarkStart w:id="74" w:name="Tc_6JzbH8L7M0e-SzbYrRJvJA_6_0"/>
      <w:bookmarkStart w:id="75" w:name="Tc_Qbi6pla2HEyCq_mSoEi-vw_5_5"/>
      <w:bookmarkStart w:id="76" w:name="Tc_XlXcEIiwvEe7ltSAOYVrQg_5_2"/>
      <w:bookmarkStart w:id="77" w:name="Tc_l1Got36SVECwINZ3M83h_A_5_0"/>
      <w:bookmarkStart w:id="78" w:name="Tc_HJzrPTfeukqxja3q7lIg_A_4_0"/>
      <w:bookmarkStart w:id="79" w:name="Tc_-XOREDDb-kq9ZbQY17HIRA_3_0"/>
      <w:bookmarkStart w:id="80" w:name="Tc_EggA6SkuC0GA07GzV41jNw_2_5"/>
      <w:bookmarkStart w:id="81" w:name="Tc_FTieu3MMiEyajJ3ShZdTYw_2_2"/>
      <w:bookmarkStart w:id="82" w:name="Tc_FaRUOSp2BkCC-9qrLhi_5Q_1_2"/>
      <w:bookmarkStart w:id="83" w:name="_0f20c4bd_1bda_436a_b35d_b1abd714a2e4"/>
      <w:bookmarkStart w:id="84" w:name="Tc_PojnJu34V0SzNL2fJjoIgA_30_5"/>
      <w:bookmarkStart w:id="85" w:name="Tc_Fwksj4XbcEG2s7x3rzeUDw_30_2"/>
      <w:bookmarkStart w:id="86" w:name="Tc_ZcJWyh_050GKSSfcU_-O6A_30_0"/>
      <w:bookmarkStart w:id="87" w:name="Tc_OM7C-U7Nvku59q13bq3SVg_29_0"/>
      <w:bookmarkStart w:id="88" w:name="Tc_5vqb8h97cUKymWO5oaTgzw_28_0"/>
      <w:bookmarkStart w:id="89" w:name="Tc_FENG9Ed2jkqvRa4O_svwcw_27_0"/>
      <w:bookmarkStart w:id="90" w:name="Tc_k7BCrdWYukCPDi840hzi5g_26_0"/>
      <w:bookmarkStart w:id="91" w:name="Tc_bikzddLLE02NSgT89Wh0kA_25_0"/>
      <w:bookmarkStart w:id="92" w:name="Tc_dnlAQHzpMk6eCOhCVjoI9Q_24_0"/>
      <w:bookmarkStart w:id="93" w:name="Tc_9obRE8vc_0appzXGYbtflA_23_0"/>
      <w:bookmarkStart w:id="94" w:name="Tc_DVJm9mekLk-Ttno2hoT4Iw_22_0"/>
      <w:bookmarkStart w:id="95" w:name="Tc_ihKqxH8d3U-JIXVaYGGG-Q_21_0"/>
      <w:bookmarkStart w:id="96" w:name="Tc_8n-iVnzYnkqsEgUegLroQg_20_0"/>
      <w:bookmarkStart w:id="97" w:name="Tc_cdjFdxPzi0uDsF2XmVvpag_19_0"/>
      <w:bookmarkStart w:id="98" w:name="Tc_pXZomuxweUWgoWvNVxB6nA_17_0"/>
      <w:bookmarkStart w:id="99" w:name="Tc_dBhUvVn7PESsQDq5JbZWlw_16_0"/>
      <w:bookmarkStart w:id="100" w:name="Tc_TLQ5EVdnPECWMWTY1gdYew_15_0"/>
      <w:bookmarkStart w:id="101" w:name="Tc_hNWva4emy0ip4Ly28Em1lA_14_5"/>
      <w:bookmarkStart w:id="102" w:name="Tc_rDhM4kKDAESkYJSTVq7dSg_14_2"/>
      <w:bookmarkStart w:id="103" w:name="Tc_Ovcgs8e8QUux-LRx159vpQ_14_0"/>
      <w:bookmarkStart w:id="104" w:name="Tc_IRNBwQ2nmE6xqf1gUd8J3A_13_0"/>
      <w:bookmarkStart w:id="105" w:name="Tc_uIw43Ora8Ey90Ou-1vYofg_12_0"/>
      <w:bookmarkStart w:id="106" w:name="Tc_0gaUOubXf0-G_DePg2-JAg_11_5"/>
      <w:bookmarkStart w:id="107" w:name="Tc_x8nH9IXRkEKX68KFOEbIAA_11_2"/>
      <w:bookmarkStart w:id="108" w:name="Tc_imbPkAkV30K4-S7CWd741w_11_0"/>
      <w:bookmarkStart w:id="109" w:name="Tc_opnxinQFGkScNHCCrOLrgQ_10_0"/>
      <w:bookmarkStart w:id="110" w:name="Tc_HPE3SKWrYkGHABIPzAww2Q_9_0"/>
      <w:bookmarkStart w:id="111" w:name="Tc_NphNsZg55EaHyJNf0fCR1w_8_0"/>
      <w:bookmarkStart w:id="112" w:name="Tc_7ItUwBLZBEm821A8jgeraA_7_0"/>
      <w:bookmarkStart w:id="113" w:name="Tc_6JzbH8L7M0e-SzbYrRJvJA_6_0"/>
      <w:bookmarkStart w:id="114" w:name="Tc_Qbi6pla2HEyCq_mSoEi-vw_5_5"/>
      <w:bookmarkStart w:id="115" w:name="Tc_XlXcEIiwvEe7ltSAOYVrQg_5_2"/>
      <w:bookmarkStart w:id="116" w:name="Tc_l1Got36SVECwINZ3M83h_A_5_0"/>
      <w:bookmarkStart w:id="117" w:name="Tc_HJzrPTfeukqxja3q7lIg_A_4_0"/>
      <w:bookmarkStart w:id="118" w:name="Tc_-XOREDDb-kq9ZbQY17HIRA_3_0"/>
      <w:bookmarkStart w:id="119" w:name="Tc_EggA6SkuC0GA07GzV41jNw_2_5"/>
      <w:bookmarkStart w:id="120" w:name="Tc_FTieu3MMiEyajJ3ShZdTYw_2_2"/>
      <w:bookmarkStart w:id="121" w:name="Tc_FaRUOSp2BkCC-9qrLhi_5Q_1_2"/>
      <w:bookmarkStart w:id="122" w:name="_0f20c4bd_1bda_436a_b35d_b1abd714a2e4"/>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p>
    <w:tbl>
      <w:tblPr>
        <w:tblW w:w="10205" w:type="dxa"/>
        <w:jc w:val="left"/>
        <w:tblInd w:w="0" w:type="dxa"/>
        <w:tblLayout w:type="fixed"/>
        <w:tblCellMar>
          <w:top w:w="0" w:type="dxa"/>
          <w:left w:w="0" w:type="dxa"/>
          <w:bottom w:w="0" w:type="dxa"/>
          <w:right w:w="0" w:type="dxa"/>
        </w:tblCellMar>
      </w:tblPr>
      <w:tblGrid>
        <w:gridCol w:w="7546"/>
        <w:gridCol w:w="109"/>
        <w:gridCol w:w="219"/>
        <w:gridCol w:w="900"/>
        <w:gridCol w:w="109"/>
        <w:gridCol w:w="247"/>
        <w:gridCol w:w="1075"/>
      </w:tblGrid>
      <w:tr>
        <w:trPr/>
        <w:tc>
          <w:tcPr>
            <w:tcW w:w="75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4791710" cy="175260"/>
                      <wp:effectExtent l="0" t="0" r="0" b="0"/>
                      <wp:wrapNone/>
                      <wp:docPr id="18" name="Frame17"/>
                      <a:graphic xmlns:a="http://schemas.openxmlformats.org/drawingml/2006/main">
                        <a:graphicData uri="http://schemas.microsoft.com/office/word/2010/wordprocessingShape">
                          <wps:wsp>
                            <wps:cNvSpPr txBox="1"/>
                            <wps:spPr>
                              <a:xfrm>
                                <a:off x="0" y="0"/>
                                <a:ext cx="47917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9215" cy="175260"/>
                      <wp:effectExtent l="0" t="0" r="0" b="0"/>
                      <wp:wrapNone/>
                      <wp:docPr id="19" name="Frame1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1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139065" cy="175260"/>
                      <wp:effectExtent l="0" t="0" r="0" b="0"/>
                      <wp:wrapNone/>
                      <wp:docPr id="20" name="Frame19"/>
                      <a:graphic xmlns:a="http://schemas.openxmlformats.org/drawingml/2006/main">
                        <a:graphicData uri="http://schemas.microsoft.com/office/word/2010/wordprocessingShape">
                          <wps:wsp>
                            <wps:cNvSpPr txBox="1"/>
                            <wps:spPr>
                              <a:xfrm>
                                <a:off x="0" y="0"/>
                                <a:ext cx="13906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90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571500" cy="175260"/>
                      <wp:effectExtent l="0" t="0" r="0" b="0"/>
                      <wp:wrapNone/>
                      <wp:docPr id="21" name="Frame20"/>
                      <a:graphic xmlns:a="http://schemas.openxmlformats.org/drawingml/2006/main">
                        <a:graphicData uri="http://schemas.microsoft.com/office/word/2010/wordprocessingShape">
                          <wps:wsp>
                            <wps:cNvSpPr txBox="1"/>
                            <wps:spPr>
                              <a:xfrm>
                                <a:off x="0" y="0"/>
                                <a:ext cx="57150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9215" cy="175260"/>
                      <wp:effectExtent l="0" t="0" r="0" b="0"/>
                      <wp:wrapNone/>
                      <wp:docPr id="22" name="Frame2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4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156845" cy="175260"/>
                      <wp:effectExtent l="0" t="0" r="0" b="0"/>
                      <wp:wrapNone/>
                      <wp:docPr id="23" name="Frame22"/>
                      <a:graphic xmlns:a="http://schemas.openxmlformats.org/drawingml/2006/main">
                        <a:graphicData uri="http://schemas.microsoft.com/office/word/2010/wordprocessingShape">
                          <wps:wsp>
                            <wps:cNvSpPr txBox="1"/>
                            <wps:spPr>
                              <a:xfrm>
                                <a:off x="0" y="0"/>
                                <a:ext cx="15684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07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82625" cy="175260"/>
                      <wp:effectExtent l="0" t="0" r="0" b="0"/>
                      <wp:wrapNone/>
                      <wp:docPr id="24" name="Frame23"/>
                      <a:graphic xmlns:a="http://schemas.openxmlformats.org/drawingml/2006/main">
                        <a:graphicData uri="http://schemas.microsoft.com/office/word/2010/wordprocessingShape">
                          <wps:wsp>
                            <wps:cNvSpPr txBox="1"/>
                            <wps:spPr>
                              <a:xfrm>
                                <a:off x="0" y="0"/>
                                <a:ext cx="68262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3.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r>
      <w:tr>
        <w:trPr/>
        <w:tc>
          <w:tcPr>
            <w:tcW w:w="7546"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2550" w:type="dxa"/>
            <w:gridSpan w:val="5"/>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As of</w:t>
            </w:r>
          </w:p>
        </w:tc>
      </w:tr>
      <w:tr>
        <w:trPr/>
        <w:tc>
          <w:tcPr>
            <w:tcW w:w="7546"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109"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1119"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June 30, 2026</w:t>
            </w:r>
          </w:p>
        </w:tc>
        <w:tc>
          <w:tcPr>
            <w:tcW w:w="109"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1322"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December 31, 2025</w:t>
            </w:r>
          </w:p>
        </w:tc>
      </w:tr>
      <w:tr>
        <w:trPr/>
        <w:tc>
          <w:tcPr>
            <w:tcW w:w="754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Assets</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19" w:type="dxa"/>
            <w:tcBorders/>
            <w:shd w:fill="CCEEFF" w:val="clear"/>
            <w:vAlign w:val="center"/>
          </w:tcPr>
          <w:p>
            <w:pPr>
              <w:pStyle w:val="TableContents"/>
              <w:bidi w:val="0"/>
              <w:spacing w:lineRule="auto" w:line="285" w:before="0" w:after="0"/>
              <w:ind w:left="0" w:right="0" w:hanging="0"/>
              <w:jc w:val="left"/>
              <w:rPr/>
            </w:pPr>
            <w:r>
              <w:rPr/>
              <w:t>​</w:t>
            </w:r>
          </w:p>
        </w:tc>
        <w:tc>
          <w:tcPr>
            <w:tcW w:w="900" w:type="dxa"/>
            <w:tcBorders/>
            <w:shd w:fill="CCEEFF" w:val="clear"/>
            <w:vAlign w:val="center"/>
          </w:tcPr>
          <w:p>
            <w:pPr>
              <w:pStyle w:val="TableContents"/>
              <w:bidi w:val="0"/>
              <w:spacing w:lineRule="auto" w:line="285" w:before="0" w:after="0"/>
              <w:ind w:left="0" w:right="0" w:hanging="0"/>
              <w:jc w:val="left"/>
              <w:rPr/>
            </w:pPr>
            <w:r>
              <w:rPr/>
              <w:t>​</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47" w:type="dxa"/>
            <w:tcBorders/>
            <w:shd w:fill="CCEEFF" w:val="clear"/>
            <w:vAlign w:val="center"/>
          </w:tcPr>
          <w:p>
            <w:pPr>
              <w:pStyle w:val="TableContents"/>
              <w:bidi w:val="0"/>
              <w:spacing w:lineRule="auto" w:line="285" w:before="0" w:after="0"/>
              <w:ind w:left="0" w:right="0" w:hanging="0"/>
              <w:jc w:val="left"/>
              <w:rPr/>
            </w:pPr>
            <w:r>
              <w:rPr/>
              <w:t>​</w:t>
            </w:r>
          </w:p>
        </w:tc>
        <w:tc>
          <w:tcPr>
            <w:tcW w:w="1075" w:type="dxa"/>
            <w:tcBorders/>
            <w:shd w:fill="CCEEFF" w:val="clear"/>
            <w:vAlign w:val="center"/>
          </w:tcPr>
          <w:p>
            <w:pPr>
              <w:pStyle w:val="TableContents"/>
              <w:bidi w:val="0"/>
              <w:spacing w:lineRule="auto" w:line="285" w:before="0" w:after="0"/>
              <w:ind w:left="0" w:right="0" w:hanging="0"/>
              <w:jc w:val="left"/>
              <w:rPr/>
            </w:pPr>
            <w:r>
              <w:rPr/>
              <w:t>​</w:t>
            </w:r>
          </w:p>
        </w:tc>
      </w:tr>
      <w:tr>
        <w:trPr/>
        <w:tc>
          <w:tcPr>
            <w:tcW w:w="7546"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Current assets</w:t>
            </w:r>
          </w:p>
        </w:tc>
        <w:tc>
          <w:tcPr>
            <w:tcW w:w="109" w:type="dxa"/>
            <w:tcBorders/>
            <w:vAlign w:val="center"/>
          </w:tcPr>
          <w:p>
            <w:pPr>
              <w:pStyle w:val="TableContents"/>
              <w:bidi w:val="0"/>
              <w:spacing w:lineRule="auto" w:line="285" w:before="0" w:after="0"/>
              <w:ind w:left="0" w:right="0" w:hanging="0"/>
              <w:jc w:val="left"/>
              <w:rPr/>
            </w:pPr>
            <w:r>
              <w:rPr/>
              <w:t>​</w:t>
            </w:r>
          </w:p>
        </w:tc>
        <w:tc>
          <w:tcPr>
            <w:tcW w:w="219" w:type="dxa"/>
            <w:tcBorders/>
            <w:vAlign w:val="center"/>
          </w:tcPr>
          <w:p>
            <w:pPr>
              <w:pStyle w:val="TableContents"/>
              <w:bidi w:val="0"/>
              <w:spacing w:lineRule="auto" w:line="285" w:before="0" w:after="0"/>
              <w:ind w:left="0" w:right="0" w:hanging="0"/>
              <w:jc w:val="left"/>
              <w:rPr/>
            </w:pPr>
            <w:r>
              <w:rPr/>
              <w:t>​</w:t>
            </w:r>
          </w:p>
        </w:tc>
        <w:tc>
          <w:tcPr>
            <w:tcW w:w="900"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247" w:type="dxa"/>
            <w:tcBorders/>
            <w:vAlign w:val="center"/>
          </w:tcPr>
          <w:p>
            <w:pPr>
              <w:pStyle w:val="TableContents"/>
              <w:bidi w:val="0"/>
              <w:spacing w:lineRule="auto" w:line="285" w:before="0" w:after="0"/>
              <w:ind w:left="0" w:right="0" w:hanging="0"/>
              <w:jc w:val="left"/>
              <w:rPr/>
            </w:pPr>
            <w:r>
              <w:rPr/>
              <w:t>​</w:t>
            </w:r>
          </w:p>
        </w:tc>
        <w:tc>
          <w:tcPr>
            <w:tcW w:w="1075" w:type="dxa"/>
            <w:tcBorders/>
            <w:vAlign w:val="center"/>
          </w:tcPr>
          <w:p>
            <w:pPr>
              <w:pStyle w:val="TableContents"/>
              <w:bidi w:val="0"/>
              <w:spacing w:lineRule="auto" w:line="285" w:before="0" w:after="0"/>
              <w:ind w:left="0" w:right="0" w:hanging="0"/>
              <w:jc w:val="left"/>
              <w:rPr/>
            </w:pPr>
            <w:r>
              <w:rPr/>
              <w:t>​</w:t>
            </w:r>
          </w:p>
        </w:tc>
      </w:tr>
      <w:tr>
        <w:trPr/>
        <w:tc>
          <w:tcPr>
            <w:tcW w:w="754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Cash and cash equivalents</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19"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00"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12,634</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47"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75"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10,278</w:t>
            </w:r>
          </w:p>
        </w:tc>
      </w:tr>
      <w:tr>
        <w:trPr/>
        <w:tc>
          <w:tcPr>
            <w:tcW w:w="7546"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Prepaid expenses and other current assets</w:t>
            </w:r>
          </w:p>
        </w:tc>
        <w:tc>
          <w:tcPr>
            <w:tcW w:w="109"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219"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900"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433</w:t>
            </w:r>
          </w:p>
        </w:tc>
        <w:tc>
          <w:tcPr>
            <w:tcW w:w="109"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247"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1075"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597</w:t>
            </w:r>
          </w:p>
        </w:tc>
      </w:tr>
      <w:tr>
        <w:trPr/>
        <w:tc>
          <w:tcPr>
            <w:tcW w:w="754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Total current assets</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19" w:type="dxa"/>
            <w:tcBorders/>
            <w:shd w:fill="CCEEFF" w:val="clear"/>
            <w:vAlign w:val="center"/>
          </w:tcPr>
          <w:p>
            <w:pPr>
              <w:pStyle w:val="TableContents"/>
              <w:bidi w:val="0"/>
              <w:spacing w:lineRule="auto" w:line="285" w:before="0" w:after="0"/>
              <w:ind w:left="0" w:right="0" w:hanging="0"/>
              <w:jc w:val="left"/>
              <w:rPr/>
            </w:pPr>
            <w:r>
              <w:rPr/>
              <w:t> </w:t>
            </w:r>
          </w:p>
        </w:tc>
        <w:tc>
          <w:tcPr>
            <w:tcW w:w="900"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13,067</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47" w:type="dxa"/>
            <w:tcBorders/>
            <w:shd w:fill="CCEEFF" w:val="clear"/>
            <w:vAlign w:val="center"/>
          </w:tcPr>
          <w:p>
            <w:pPr>
              <w:pStyle w:val="TableContents"/>
              <w:bidi w:val="0"/>
              <w:spacing w:lineRule="auto" w:line="285" w:before="0" w:after="0"/>
              <w:ind w:left="0" w:right="0" w:hanging="0"/>
              <w:jc w:val="left"/>
              <w:rPr/>
            </w:pPr>
            <w:r>
              <w:rPr/>
              <w:t> </w:t>
            </w:r>
          </w:p>
        </w:tc>
        <w:tc>
          <w:tcPr>
            <w:tcW w:w="1075"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10,875</w:t>
            </w:r>
          </w:p>
        </w:tc>
      </w:tr>
      <w:tr>
        <w:trPr/>
        <w:tc>
          <w:tcPr>
            <w:tcW w:w="7546"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Property and equipment, net</w:t>
            </w:r>
          </w:p>
        </w:tc>
        <w:tc>
          <w:tcPr>
            <w:tcW w:w="109" w:type="dxa"/>
            <w:tcBorders/>
            <w:vAlign w:val="center"/>
          </w:tcPr>
          <w:p>
            <w:pPr>
              <w:pStyle w:val="TableContents"/>
              <w:bidi w:val="0"/>
              <w:spacing w:lineRule="auto" w:line="285" w:before="0" w:after="0"/>
              <w:ind w:left="0" w:right="0" w:hanging="0"/>
              <w:jc w:val="left"/>
              <w:rPr/>
            </w:pPr>
            <w:r>
              <w:rPr/>
              <w:t>​</w:t>
            </w:r>
          </w:p>
        </w:tc>
        <w:tc>
          <w:tcPr>
            <w:tcW w:w="219" w:type="dxa"/>
            <w:tcBorders/>
            <w:vAlign w:val="center"/>
          </w:tcPr>
          <w:p>
            <w:pPr>
              <w:pStyle w:val="TableContents"/>
              <w:bidi w:val="0"/>
              <w:spacing w:lineRule="auto" w:line="285" w:before="0" w:after="0"/>
              <w:ind w:left="0" w:right="0" w:hanging="0"/>
              <w:jc w:val="left"/>
              <w:rPr/>
            </w:pPr>
            <w:r>
              <w:rPr/>
              <w:t> </w:t>
            </w:r>
          </w:p>
        </w:tc>
        <w:tc>
          <w:tcPr>
            <w:tcW w:w="900"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8</w:t>
            </w:r>
          </w:p>
        </w:tc>
        <w:tc>
          <w:tcPr>
            <w:tcW w:w="109" w:type="dxa"/>
            <w:tcBorders/>
            <w:vAlign w:val="center"/>
          </w:tcPr>
          <w:p>
            <w:pPr>
              <w:pStyle w:val="TableContents"/>
              <w:bidi w:val="0"/>
              <w:spacing w:lineRule="auto" w:line="285" w:before="0" w:after="0"/>
              <w:ind w:left="0" w:right="0" w:hanging="0"/>
              <w:jc w:val="left"/>
              <w:rPr/>
            </w:pPr>
            <w:r>
              <w:rPr/>
              <w:t>​</w:t>
            </w:r>
          </w:p>
        </w:tc>
        <w:tc>
          <w:tcPr>
            <w:tcW w:w="247" w:type="dxa"/>
            <w:tcBorders/>
            <w:vAlign w:val="center"/>
          </w:tcPr>
          <w:p>
            <w:pPr>
              <w:pStyle w:val="TableContents"/>
              <w:bidi w:val="0"/>
              <w:spacing w:lineRule="auto" w:line="285" w:before="0" w:after="0"/>
              <w:ind w:left="0" w:right="0" w:hanging="0"/>
              <w:jc w:val="left"/>
              <w:rPr/>
            </w:pPr>
            <w:r>
              <w:rPr/>
              <w:t> </w:t>
            </w:r>
          </w:p>
        </w:tc>
        <w:tc>
          <w:tcPr>
            <w:tcW w:w="1075"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17</w:t>
            </w:r>
          </w:p>
        </w:tc>
      </w:tr>
      <w:tr>
        <w:trPr/>
        <w:tc>
          <w:tcPr>
            <w:tcW w:w="754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Right-of-use asset</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19" w:type="dxa"/>
            <w:tcBorders/>
            <w:shd w:fill="CCEEFF" w:val="clear"/>
            <w:vAlign w:val="center"/>
          </w:tcPr>
          <w:p>
            <w:pPr>
              <w:pStyle w:val="TableContents"/>
              <w:bidi w:val="0"/>
              <w:spacing w:lineRule="auto" w:line="285" w:before="0" w:after="0"/>
              <w:ind w:left="0" w:right="0" w:hanging="0"/>
              <w:jc w:val="left"/>
              <w:rPr/>
            </w:pPr>
            <w:r>
              <w:rPr/>
              <w:t>​</w:t>
            </w:r>
          </w:p>
        </w:tc>
        <w:tc>
          <w:tcPr>
            <w:tcW w:w="900"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175</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47" w:type="dxa"/>
            <w:tcBorders/>
            <w:shd w:fill="CCEEFF" w:val="clear"/>
            <w:vAlign w:val="center"/>
          </w:tcPr>
          <w:p>
            <w:pPr>
              <w:pStyle w:val="TableContents"/>
              <w:bidi w:val="0"/>
              <w:spacing w:lineRule="auto" w:line="285" w:before="0" w:after="0"/>
              <w:ind w:left="0" w:right="0" w:hanging="0"/>
              <w:jc w:val="left"/>
              <w:rPr/>
            </w:pPr>
            <w:r>
              <w:rPr/>
              <w:t>​</w:t>
            </w:r>
          </w:p>
        </w:tc>
        <w:tc>
          <w:tcPr>
            <w:tcW w:w="1075"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210</w:t>
            </w:r>
          </w:p>
        </w:tc>
      </w:tr>
      <w:tr>
        <w:trPr/>
        <w:tc>
          <w:tcPr>
            <w:tcW w:w="7546"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Other assets</w:t>
            </w:r>
          </w:p>
        </w:tc>
        <w:tc>
          <w:tcPr>
            <w:tcW w:w="109"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219"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900"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21</w:t>
            </w:r>
          </w:p>
        </w:tc>
        <w:tc>
          <w:tcPr>
            <w:tcW w:w="109"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247"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1075"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21</w:t>
            </w:r>
          </w:p>
        </w:tc>
      </w:tr>
      <w:tr>
        <w:trPr/>
        <w:tc>
          <w:tcPr>
            <w:tcW w:w="7546"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Total assets</w:t>
            </w:r>
          </w:p>
        </w:tc>
        <w:tc>
          <w:tcPr>
            <w:tcW w:w="109"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219"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00"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13,271</w:t>
            </w:r>
          </w:p>
        </w:tc>
        <w:tc>
          <w:tcPr>
            <w:tcW w:w="109"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247"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75"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11,123</w:t>
            </w:r>
          </w:p>
        </w:tc>
      </w:tr>
      <w:tr>
        <w:trPr/>
        <w:tc>
          <w:tcPr>
            <w:tcW w:w="7546"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Liabilities and stockholders’ equity</w:t>
            </w:r>
          </w:p>
        </w:tc>
        <w:tc>
          <w:tcPr>
            <w:tcW w:w="109" w:type="dxa"/>
            <w:tcBorders/>
            <w:vAlign w:val="center"/>
          </w:tcPr>
          <w:p>
            <w:pPr>
              <w:pStyle w:val="TableContents"/>
              <w:bidi w:val="0"/>
              <w:spacing w:lineRule="auto" w:line="285" w:before="0" w:after="0"/>
              <w:ind w:left="0" w:right="0" w:hanging="0"/>
              <w:jc w:val="left"/>
              <w:rPr/>
            </w:pPr>
            <w:r>
              <w:rPr/>
              <w:t>​</w:t>
            </w:r>
          </w:p>
        </w:tc>
        <w:tc>
          <w:tcPr>
            <w:tcW w:w="219" w:type="dxa"/>
            <w:tcBorders/>
            <w:vAlign w:val="center"/>
          </w:tcPr>
          <w:p>
            <w:pPr>
              <w:pStyle w:val="TableContents"/>
              <w:bidi w:val="0"/>
              <w:spacing w:lineRule="auto" w:line="285" w:before="0" w:after="0"/>
              <w:ind w:left="0" w:right="0" w:hanging="0"/>
              <w:jc w:val="left"/>
              <w:rPr/>
            </w:pPr>
            <w:r>
              <w:rPr/>
              <w:t>​</w:t>
            </w:r>
          </w:p>
        </w:tc>
        <w:tc>
          <w:tcPr>
            <w:tcW w:w="900" w:type="dxa"/>
            <w:tcBorders/>
            <w:vAlign w:val="center"/>
          </w:tcPr>
          <w:p>
            <w:pPr>
              <w:pStyle w:val="TableContents"/>
              <w:bidi w:val="0"/>
              <w:spacing w:lineRule="auto" w:line="285" w:before="0" w:after="0"/>
              <w:ind w:left="0" w:right="0" w:hanging="0"/>
              <w:jc w:val="righ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247" w:type="dxa"/>
            <w:tcBorders/>
            <w:vAlign w:val="center"/>
          </w:tcPr>
          <w:p>
            <w:pPr>
              <w:pStyle w:val="TableContents"/>
              <w:bidi w:val="0"/>
              <w:spacing w:lineRule="auto" w:line="285" w:before="0" w:after="0"/>
              <w:ind w:left="0" w:right="0" w:hanging="0"/>
              <w:jc w:val="left"/>
              <w:rPr/>
            </w:pPr>
            <w:r>
              <w:rPr/>
              <w:t>​</w:t>
            </w:r>
          </w:p>
        </w:tc>
        <w:tc>
          <w:tcPr>
            <w:tcW w:w="1075" w:type="dxa"/>
            <w:tcBorders/>
            <w:vAlign w:val="center"/>
          </w:tcPr>
          <w:p>
            <w:pPr>
              <w:pStyle w:val="TableContents"/>
              <w:bidi w:val="0"/>
              <w:spacing w:lineRule="auto" w:line="285" w:before="0" w:after="0"/>
              <w:ind w:left="0" w:right="0" w:hanging="0"/>
              <w:jc w:val="left"/>
              <w:rPr/>
            </w:pPr>
            <w:r>
              <w:rPr/>
              <w:t>​</w:t>
            </w:r>
          </w:p>
        </w:tc>
      </w:tr>
      <w:tr>
        <w:trPr/>
        <w:tc>
          <w:tcPr>
            <w:tcW w:w="754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Current liabilities</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19" w:type="dxa"/>
            <w:tcBorders/>
            <w:shd w:fill="CCEEFF" w:val="clear"/>
            <w:vAlign w:val="center"/>
          </w:tcPr>
          <w:p>
            <w:pPr>
              <w:pStyle w:val="TableContents"/>
              <w:bidi w:val="0"/>
              <w:spacing w:lineRule="auto" w:line="285" w:before="0" w:after="0"/>
              <w:ind w:left="0" w:right="0" w:hanging="0"/>
              <w:jc w:val="left"/>
              <w:rPr/>
            </w:pPr>
            <w:r>
              <w:rPr/>
              <w:t>​</w:t>
            </w:r>
          </w:p>
        </w:tc>
        <w:tc>
          <w:tcPr>
            <w:tcW w:w="900" w:type="dxa"/>
            <w:tcBorders/>
            <w:shd w:fill="CCEEFF" w:val="clear"/>
            <w:vAlign w:val="center"/>
          </w:tcPr>
          <w:p>
            <w:pPr>
              <w:pStyle w:val="TableContents"/>
              <w:bidi w:val="0"/>
              <w:spacing w:lineRule="auto" w:line="285" w:before="0" w:after="0"/>
              <w:ind w:left="0" w:right="0" w:hanging="0"/>
              <w:jc w:val="left"/>
              <w:rPr/>
            </w:pPr>
            <w:r>
              <w:rPr/>
              <w:t>​</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47" w:type="dxa"/>
            <w:tcBorders/>
            <w:shd w:fill="CCEEFF" w:val="clear"/>
            <w:vAlign w:val="center"/>
          </w:tcPr>
          <w:p>
            <w:pPr>
              <w:pStyle w:val="TableContents"/>
              <w:bidi w:val="0"/>
              <w:spacing w:lineRule="auto" w:line="285" w:before="0" w:after="0"/>
              <w:ind w:left="0" w:right="0" w:hanging="0"/>
              <w:jc w:val="left"/>
              <w:rPr/>
            </w:pPr>
            <w:r>
              <w:rPr/>
              <w:t>​</w:t>
            </w:r>
          </w:p>
        </w:tc>
        <w:tc>
          <w:tcPr>
            <w:tcW w:w="1075" w:type="dxa"/>
            <w:tcBorders/>
            <w:shd w:fill="CCEEFF" w:val="clear"/>
            <w:vAlign w:val="center"/>
          </w:tcPr>
          <w:p>
            <w:pPr>
              <w:pStyle w:val="TableContents"/>
              <w:bidi w:val="0"/>
              <w:spacing w:lineRule="auto" w:line="285" w:before="0" w:after="0"/>
              <w:ind w:left="0" w:right="0" w:hanging="0"/>
              <w:jc w:val="left"/>
              <w:rPr/>
            </w:pPr>
            <w:r>
              <w:rPr/>
              <w:t>​</w:t>
            </w:r>
          </w:p>
        </w:tc>
      </w:tr>
      <w:tr>
        <w:trPr/>
        <w:tc>
          <w:tcPr>
            <w:tcW w:w="7546"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Accounts payable</w:t>
            </w:r>
          </w:p>
        </w:tc>
        <w:tc>
          <w:tcPr>
            <w:tcW w:w="109" w:type="dxa"/>
            <w:tcBorders/>
            <w:vAlign w:val="center"/>
          </w:tcPr>
          <w:p>
            <w:pPr>
              <w:pStyle w:val="TableContents"/>
              <w:bidi w:val="0"/>
              <w:spacing w:lineRule="auto" w:line="285" w:before="0" w:after="0"/>
              <w:ind w:left="0" w:right="0" w:hanging="0"/>
              <w:jc w:val="left"/>
              <w:rPr/>
            </w:pPr>
            <w:r>
              <w:rPr/>
              <w:t>​</w:t>
            </w:r>
          </w:p>
        </w:tc>
        <w:tc>
          <w:tcPr>
            <w:tcW w:w="219"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00"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921</w:t>
            </w:r>
          </w:p>
        </w:tc>
        <w:tc>
          <w:tcPr>
            <w:tcW w:w="109" w:type="dxa"/>
            <w:tcBorders/>
            <w:vAlign w:val="center"/>
          </w:tcPr>
          <w:p>
            <w:pPr>
              <w:pStyle w:val="TableContents"/>
              <w:bidi w:val="0"/>
              <w:spacing w:lineRule="auto" w:line="285" w:before="0" w:after="0"/>
              <w:ind w:left="0" w:right="0" w:hanging="0"/>
              <w:jc w:val="left"/>
              <w:rPr/>
            </w:pPr>
            <w:r>
              <w:rPr/>
              <w:t>​</w:t>
            </w:r>
          </w:p>
        </w:tc>
        <w:tc>
          <w:tcPr>
            <w:tcW w:w="247"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75"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1,060</w:t>
            </w:r>
          </w:p>
        </w:tc>
      </w:tr>
      <w:tr>
        <w:trPr/>
        <w:tc>
          <w:tcPr>
            <w:tcW w:w="754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Clinical trial accrued liabilities</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19" w:type="dxa"/>
            <w:tcBorders/>
            <w:shd w:fill="CCEEFF" w:val="clear"/>
            <w:vAlign w:val="center"/>
          </w:tcPr>
          <w:p>
            <w:pPr>
              <w:pStyle w:val="TableContents"/>
              <w:bidi w:val="0"/>
              <w:spacing w:lineRule="auto" w:line="285" w:before="0" w:after="0"/>
              <w:ind w:left="0" w:right="0" w:hanging="0"/>
              <w:jc w:val="left"/>
              <w:rPr/>
            </w:pPr>
            <w:r>
              <w:rPr/>
              <w:t>​</w:t>
            </w:r>
          </w:p>
        </w:tc>
        <w:tc>
          <w:tcPr>
            <w:tcW w:w="900"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2,825</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47" w:type="dxa"/>
            <w:tcBorders/>
            <w:shd w:fill="CCEEFF" w:val="clear"/>
            <w:vAlign w:val="center"/>
          </w:tcPr>
          <w:p>
            <w:pPr>
              <w:pStyle w:val="TableContents"/>
              <w:bidi w:val="0"/>
              <w:spacing w:lineRule="auto" w:line="285" w:before="0" w:after="0"/>
              <w:ind w:left="0" w:right="0" w:hanging="0"/>
              <w:jc w:val="left"/>
              <w:rPr/>
            </w:pPr>
            <w:r>
              <w:rPr/>
              <w:t>​</w:t>
            </w:r>
          </w:p>
        </w:tc>
        <w:tc>
          <w:tcPr>
            <w:tcW w:w="1075"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79</w:t>
            </w:r>
          </w:p>
        </w:tc>
      </w:tr>
      <w:tr>
        <w:trPr/>
        <w:tc>
          <w:tcPr>
            <w:tcW w:w="7546"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Accrued expenses and other current liabilities</w:t>
            </w:r>
          </w:p>
        </w:tc>
        <w:tc>
          <w:tcPr>
            <w:tcW w:w="109" w:type="dxa"/>
            <w:tcBorders/>
            <w:vAlign w:val="center"/>
          </w:tcPr>
          <w:p>
            <w:pPr>
              <w:pStyle w:val="TableContents"/>
              <w:bidi w:val="0"/>
              <w:spacing w:lineRule="auto" w:line="285" w:before="0" w:after="0"/>
              <w:ind w:left="0" w:right="0" w:hanging="0"/>
              <w:jc w:val="left"/>
              <w:rPr/>
            </w:pPr>
            <w:r>
              <w:rPr/>
              <w:t>​</w:t>
            </w:r>
          </w:p>
        </w:tc>
        <w:tc>
          <w:tcPr>
            <w:tcW w:w="219" w:type="dxa"/>
            <w:tcBorders/>
            <w:vAlign w:val="center"/>
          </w:tcPr>
          <w:p>
            <w:pPr>
              <w:pStyle w:val="TableContents"/>
              <w:bidi w:val="0"/>
              <w:spacing w:lineRule="auto" w:line="285" w:before="0" w:after="0"/>
              <w:ind w:left="0" w:right="0" w:hanging="0"/>
              <w:jc w:val="left"/>
              <w:rPr/>
            </w:pPr>
            <w:r>
              <w:rPr/>
              <w:t> </w:t>
            </w:r>
          </w:p>
        </w:tc>
        <w:tc>
          <w:tcPr>
            <w:tcW w:w="900"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606</w:t>
            </w:r>
          </w:p>
        </w:tc>
        <w:tc>
          <w:tcPr>
            <w:tcW w:w="109" w:type="dxa"/>
            <w:tcBorders/>
            <w:vAlign w:val="center"/>
          </w:tcPr>
          <w:p>
            <w:pPr>
              <w:pStyle w:val="TableContents"/>
              <w:bidi w:val="0"/>
              <w:spacing w:lineRule="auto" w:line="285" w:before="0" w:after="0"/>
              <w:ind w:left="0" w:right="0" w:hanging="0"/>
              <w:jc w:val="left"/>
              <w:rPr/>
            </w:pPr>
            <w:r>
              <w:rPr/>
              <w:t>​</w:t>
            </w:r>
          </w:p>
        </w:tc>
        <w:tc>
          <w:tcPr>
            <w:tcW w:w="247" w:type="dxa"/>
            <w:tcBorders/>
            <w:vAlign w:val="center"/>
          </w:tcPr>
          <w:p>
            <w:pPr>
              <w:pStyle w:val="TableContents"/>
              <w:bidi w:val="0"/>
              <w:spacing w:lineRule="auto" w:line="285" w:before="0" w:after="0"/>
              <w:ind w:left="0" w:right="0" w:hanging="0"/>
              <w:jc w:val="left"/>
              <w:rPr/>
            </w:pPr>
            <w:r>
              <w:rPr/>
              <w:t> </w:t>
            </w:r>
          </w:p>
        </w:tc>
        <w:tc>
          <w:tcPr>
            <w:tcW w:w="1075"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993</w:t>
            </w:r>
          </w:p>
        </w:tc>
      </w:tr>
      <w:tr>
        <w:trPr/>
        <w:tc>
          <w:tcPr>
            <w:tcW w:w="754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Warrant liabilities</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19" w:type="dxa"/>
            <w:tcBorders/>
            <w:shd w:fill="CCEEFF" w:val="clear"/>
            <w:vAlign w:val="center"/>
          </w:tcPr>
          <w:p>
            <w:pPr>
              <w:pStyle w:val="TableContents"/>
              <w:bidi w:val="0"/>
              <w:spacing w:lineRule="auto" w:line="285" w:before="0" w:after="0"/>
              <w:ind w:left="0" w:right="0" w:hanging="0"/>
              <w:jc w:val="left"/>
              <w:rPr/>
            </w:pPr>
            <w:r>
              <w:rPr/>
              <w:t>​</w:t>
            </w:r>
          </w:p>
        </w:tc>
        <w:tc>
          <w:tcPr>
            <w:tcW w:w="900"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23</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47" w:type="dxa"/>
            <w:tcBorders/>
            <w:shd w:fill="CCEEFF" w:val="clear"/>
            <w:vAlign w:val="center"/>
          </w:tcPr>
          <w:p>
            <w:pPr>
              <w:pStyle w:val="TableContents"/>
              <w:bidi w:val="0"/>
              <w:spacing w:lineRule="auto" w:line="285" w:before="0" w:after="0"/>
              <w:ind w:left="0" w:right="0" w:hanging="0"/>
              <w:jc w:val="left"/>
              <w:rPr/>
            </w:pPr>
            <w:r>
              <w:rPr/>
              <w:t>​</w:t>
            </w:r>
          </w:p>
        </w:tc>
        <w:tc>
          <w:tcPr>
            <w:tcW w:w="1075"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136</w:t>
            </w:r>
          </w:p>
        </w:tc>
      </w:tr>
      <w:tr>
        <w:trPr/>
        <w:tc>
          <w:tcPr>
            <w:tcW w:w="7546" w:type="dxa"/>
            <w:tcBorders/>
            <w:vAlign w:val="center"/>
          </w:tcPr>
          <w:p>
            <w:pPr>
              <w:pStyle w:val="TableContents"/>
              <w:bidi w:val="0"/>
              <w:spacing w:lineRule="auto" w:line="285"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Related party payable</w:t>
            </w:r>
          </w:p>
        </w:tc>
        <w:tc>
          <w:tcPr>
            <w:tcW w:w="109" w:type="dxa"/>
            <w:tcBorders/>
            <w:vAlign w:val="center"/>
          </w:tcPr>
          <w:p>
            <w:pPr>
              <w:pStyle w:val="TableContents"/>
              <w:bidi w:val="0"/>
              <w:spacing w:lineRule="auto" w:line="285" w:before="0" w:after="0"/>
              <w:ind w:left="0" w:right="0" w:hanging="0"/>
              <w:jc w:val="left"/>
              <w:rPr/>
            </w:pPr>
            <w:r>
              <w:rPr/>
              <w:t>​</w:t>
            </w:r>
          </w:p>
        </w:tc>
        <w:tc>
          <w:tcPr>
            <w:tcW w:w="219" w:type="dxa"/>
            <w:tcBorders/>
            <w:vAlign w:val="center"/>
          </w:tcPr>
          <w:p>
            <w:pPr>
              <w:pStyle w:val="TableContents"/>
              <w:bidi w:val="0"/>
              <w:spacing w:lineRule="auto" w:line="285" w:before="0" w:after="0"/>
              <w:ind w:left="0" w:right="0" w:hanging="0"/>
              <w:jc w:val="left"/>
              <w:rPr/>
            </w:pPr>
            <w:r>
              <w:rPr/>
              <w:t>​</w:t>
            </w:r>
          </w:p>
        </w:tc>
        <w:tc>
          <w:tcPr>
            <w:tcW w:w="900"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1,897</w:t>
            </w:r>
          </w:p>
        </w:tc>
        <w:tc>
          <w:tcPr>
            <w:tcW w:w="109" w:type="dxa"/>
            <w:tcBorders/>
            <w:vAlign w:val="center"/>
          </w:tcPr>
          <w:p>
            <w:pPr>
              <w:pStyle w:val="TableContents"/>
              <w:bidi w:val="0"/>
              <w:spacing w:lineRule="auto" w:line="285" w:before="0" w:after="0"/>
              <w:ind w:left="0" w:right="0" w:hanging="0"/>
              <w:jc w:val="left"/>
              <w:rPr/>
            </w:pPr>
            <w:r>
              <w:rPr/>
              <w:t>​</w:t>
            </w:r>
          </w:p>
        </w:tc>
        <w:tc>
          <w:tcPr>
            <w:tcW w:w="247" w:type="dxa"/>
            <w:tcBorders/>
            <w:vAlign w:val="center"/>
          </w:tcPr>
          <w:p>
            <w:pPr>
              <w:pStyle w:val="TableContents"/>
              <w:bidi w:val="0"/>
              <w:spacing w:lineRule="auto" w:line="285" w:before="0" w:after="0"/>
              <w:ind w:left="0" w:right="0" w:hanging="0"/>
              <w:jc w:val="left"/>
              <w:rPr/>
            </w:pPr>
            <w:r>
              <w:rPr/>
              <w:t>​</w:t>
            </w:r>
          </w:p>
        </w:tc>
        <w:tc>
          <w:tcPr>
            <w:tcW w:w="1075"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3,312</w:t>
            </w:r>
          </w:p>
        </w:tc>
      </w:tr>
      <w:tr>
        <w:trPr/>
        <w:tc>
          <w:tcPr>
            <w:tcW w:w="754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Lease liability, short-term</w:t>
            </w:r>
          </w:p>
        </w:tc>
        <w:tc>
          <w:tcPr>
            <w:tcW w:w="109"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219"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900"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74</w:t>
            </w:r>
          </w:p>
        </w:tc>
        <w:tc>
          <w:tcPr>
            <w:tcW w:w="109"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247"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1075"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68</w:t>
            </w:r>
          </w:p>
        </w:tc>
      </w:tr>
      <w:tr>
        <w:trPr/>
        <w:tc>
          <w:tcPr>
            <w:tcW w:w="7546"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Total current liabilities</w:t>
            </w:r>
          </w:p>
        </w:tc>
        <w:tc>
          <w:tcPr>
            <w:tcW w:w="109" w:type="dxa"/>
            <w:tcBorders/>
            <w:vAlign w:val="center"/>
          </w:tcPr>
          <w:p>
            <w:pPr>
              <w:pStyle w:val="TableContents"/>
              <w:bidi w:val="0"/>
              <w:spacing w:lineRule="auto" w:line="285" w:before="0" w:after="0"/>
              <w:ind w:left="0" w:right="0" w:hanging="0"/>
              <w:jc w:val="left"/>
              <w:rPr/>
            </w:pPr>
            <w:r>
              <w:rPr/>
              <w:t>​</w:t>
            </w:r>
          </w:p>
        </w:tc>
        <w:tc>
          <w:tcPr>
            <w:tcW w:w="219" w:type="dxa"/>
            <w:tcBorders/>
            <w:vAlign w:val="center"/>
          </w:tcPr>
          <w:p>
            <w:pPr>
              <w:pStyle w:val="TableContents"/>
              <w:bidi w:val="0"/>
              <w:spacing w:lineRule="auto" w:line="285" w:before="0" w:after="0"/>
              <w:ind w:left="0" w:right="0" w:hanging="0"/>
              <w:jc w:val="left"/>
              <w:rPr/>
            </w:pPr>
            <w:r>
              <w:rPr/>
              <w:t> </w:t>
            </w:r>
          </w:p>
        </w:tc>
        <w:tc>
          <w:tcPr>
            <w:tcW w:w="900"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6,346</w:t>
            </w:r>
          </w:p>
        </w:tc>
        <w:tc>
          <w:tcPr>
            <w:tcW w:w="109" w:type="dxa"/>
            <w:tcBorders/>
            <w:vAlign w:val="center"/>
          </w:tcPr>
          <w:p>
            <w:pPr>
              <w:pStyle w:val="TableContents"/>
              <w:bidi w:val="0"/>
              <w:spacing w:lineRule="auto" w:line="285" w:before="0" w:after="0"/>
              <w:ind w:left="0" w:right="0" w:hanging="0"/>
              <w:jc w:val="left"/>
              <w:rPr/>
            </w:pPr>
            <w:r>
              <w:rPr/>
              <w:t>​</w:t>
            </w:r>
          </w:p>
        </w:tc>
        <w:tc>
          <w:tcPr>
            <w:tcW w:w="247" w:type="dxa"/>
            <w:tcBorders/>
            <w:vAlign w:val="center"/>
          </w:tcPr>
          <w:p>
            <w:pPr>
              <w:pStyle w:val="TableContents"/>
              <w:bidi w:val="0"/>
              <w:spacing w:lineRule="auto" w:line="285" w:before="0" w:after="0"/>
              <w:ind w:left="0" w:right="0" w:hanging="0"/>
              <w:jc w:val="left"/>
              <w:rPr/>
            </w:pPr>
            <w:r>
              <w:rPr/>
              <w:t> </w:t>
            </w:r>
          </w:p>
        </w:tc>
        <w:tc>
          <w:tcPr>
            <w:tcW w:w="1075"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5,648</w:t>
            </w:r>
          </w:p>
        </w:tc>
      </w:tr>
      <w:tr>
        <w:trPr/>
        <w:tc>
          <w:tcPr>
            <w:tcW w:w="754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Lease liability, long-term</w:t>
            </w:r>
          </w:p>
        </w:tc>
        <w:tc>
          <w:tcPr>
            <w:tcW w:w="109"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219"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900"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103</w:t>
            </w:r>
          </w:p>
        </w:tc>
        <w:tc>
          <w:tcPr>
            <w:tcW w:w="109"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247"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1075"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142</w:t>
            </w:r>
          </w:p>
        </w:tc>
      </w:tr>
      <w:tr>
        <w:trPr/>
        <w:tc>
          <w:tcPr>
            <w:tcW w:w="7546"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Total liabilities</w:t>
            </w:r>
          </w:p>
        </w:tc>
        <w:tc>
          <w:tcPr>
            <w:tcW w:w="109"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219"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 </w:t>
            </w:r>
          </w:p>
        </w:tc>
        <w:tc>
          <w:tcPr>
            <w:tcW w:w="900"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6,449</w:t>
            </w:r>
          </w:p>
        </w:tc>
        <w:tc>
          <w:tcPr>
            <w:tcW w:w="109"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247"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 </w:t>
            </w:r>
          </w:p>
        </w:tc>
        <w:tc>
          <w:tcPr>
            <w:tcW w:w="1075"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5,790</w:t>
            </w:r>
          </w:p>
        </w:tc>
      </w:tr>
      <w:tr>
        <w:trPr/>
        <w:tc>
          <w:tcPr>
            <w:tcW w:w="754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Commitments and contingencies (Note 6)</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19" w:type="dxa"/>
            <w:tcBorders/>
            <w:shd w:fill="CCEEFF" w:val="clear"/>
            <w:vAlign w:val="center"/>
          </w:tcPr>
          <w:p>
            <w:pPr>
              <w:pStyle w:val="TableContents"/>
              <w:bidi w:val="0"/>
              <w:spacing w:lineRule="auto" w:line="285" w:before="0" w:after="0"/>
              <w:ind w:left="0" w:right="0" w:hanging="0"/>
              <w:jc w:val="left"/>
              <w:rPr/>
            </w:pPr>
            <w:r>
              <w:rPr/>
              <w:t>​</w:t>
            </w:r>
          </w:p>
        </w:tc>
        <w:tc>
          <w:tcPr>
            <w:tcW w:w="900" w:type="dxa"/>
            <w:tcBorders/>
            <w:shd w:fill="CCEEFF" w:val="clear"/>
            <w:vAlign w:val="center"/>
          </w:tcPr>
          <w:p>
            <w:pPr>
              <w:pStyle w:val="TableContents"/>
              <w:bidi w:val="0"/>
              <w:spacing w:lineRule="auto" w:line="285" w:before="0" w:after="0"/>
              <w:ind w:left="0" w:right="0" w:hanging="0"/>
              <w:jc w:val="left"/>
              <w:rPr/>
            </w:pPr>
            <w:r>
              <w:rPr/>
              <w:t>​</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47" w:type="dxa"/>
            <w:tcBorders/>
            <w:shd w:fill="CCEEFF" w:val="clear"/>
            <w:vAlign w:val="center"/>
          </w:tcPr>
          <w:p>
            <w:pPr>
              <w:pStyle w:val="TableContents"/>
              <w:bidi w:val="0"/>
              <w:spacing w:lineRule="auto" w:line="285" w:before="0" w:after="0"/>
              <w:ind w:left="0" w:right="0" w:hanging="0"/>
              <w:jc w:val="left"/>
              <w:rPr/>
            </w:pPr>
            <w:r>
              <w:rPr/>
              <w:t>​</w:t>
            </w:r>
          </w:p>
        </w:tc>
        <w:tc>
          <w:tcPr>
            <w:tcW w:w="1075" w:type="dxa"/>
            <w:tcBorders/>
            <w:shd w:fill="CCEEFF" w:val="clear"/>
            <w:vAlign w:val="center"/>
          </w:tcPr>
          <w:p>
            <w:pPr>
              <w:pStyle w:val="TableContents"/>
              <w:bidi w:val="0"/>
              <w:spacing w:lineRule="auto" w:line="285" w:before="0" w:after="0"/>
              <w:ind w:left="0" w:right="0" w:hanging="0"/>
              <w:jc w:val="left"/>
              <w:rPr/>
            </w:pPr>
            <w:r>
              <w:rPr/>
              <w:t>​</w:t>
            </w:r>
          </w:p>
        </w:tc>
      </w:tr>
      <w:tr>
        <w:trPr/>
        <w:tc>
          <w:tcPr>
            <w:tcW w:w="7546"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 xml:space="preserve">Stockholders’ equity </w:t>
            </w:r>
          </w:p>
        </w:tc>
        <w:tc>
          <w:tcPr>
            <w:tcW w:w="109" w:type="dxa"/>
            <w:tcBorders/>
            <w:vAlign w:val="center"/>
          </w:tcPr>
          <w:p>
            <w:pPr>
              <w:pStyle w:val="TableContents"/>
              <w:bidi w:val="0"/>
              <w:spacing w:lineRule="auto" w:line="285" w:before="0" w:after="0"/>
              <w:ind w:left="0" w:right="0" w:hanging="0"/>
              <w:jc w:val="left"/>
              <w:rPr/>
            </w:pPr>
            <w:r>
              <w:rPr/>
              <w:t>​</w:t>
            </w:r>
          </w:p>
        </w:tc>
        <w:tc>
          <w:tcPr>
            <w:tcW w:w="219" w:type="dxa"/>
            <w:tcBorders/>
            <w:vAlign w:val="center"/>
          </w:tcPr>
          <w:p>
            <w:pPr>
              <w:pStyle w:val="TableContents"/>
              <w:bidi w:val="0"/>
              <w:spacing w:lineRule="auto" w:line="285" w:before="0" w:after="0"/>
              <w:ind w:left="0" w:right="0" w:hanging="0"/>
              <w:jc w:val="left"/>
              <w:rPr/>
            </w:pPr>
            <w:r>
              <w:rPr/>
              <w:t>​</w:t>
            </w:r>
          </w:p>
        </w:tc>
        <w:tc>
          <w:tcPr>
            <w:tcW w:w="900"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247" w:type="dxa"/>
            <w:tcBorders/>
            <w:vAlign w:val="center"/>
          </w:tcPr>
          <w:p>
            <w:pPr>
              <w:pStyle w:val="TableContents"/>
              <w:bidi w:val="0"/>
              <w:spacing w:lineRule="auto" w:line="285" w:before="0" w:after="0"/>
              <w:ind w:left="0" w:right="0" w:hanging="0"/>
              <w:jc w:val="left"/>
              <w:rPr/>
            </w:pPr>
            <w:r>
              <w:rPr/>
              <w:t>​</w:t>
            </w:r>
          </w:p>
        </w:tc>
        <w:tc>
          <w:tcPr>
            <w:tcW w:w="1075" w:type="dxa"/>
            <w:tcBorders/>
            <w:vAlign w:val="center"/>
          </w:tcPr>
          <w:p>
            <w:pPr>
              <w:pStyle w:val="TableContents"/>
              <w:bidi w:val="0"/>
              <w:spacing w:lineRule="auto" w:line="285" w:before="0" w:after="0"/>
              <w:ind w:left="0" w:right="0" w:hanging="0"/>
              <w:jc w:val="left"/>
              <w:rPr/>
            </w:pPr>
            <w:r>
              <w:rPr/>
              <w:t>​</w:t>
            </w:r>
          </w:p>
        </w:tc>
      </w:tr>
      <w:tr>
        <w:trPr/>
        <w:tc>
          <w:tcPr>
            <w:tcW w:w="754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Preferred stock, $0.001 par value per share; 10,000,000 shares authorized and no shares issued or outstanding as of June 30, 2026 and December 31, 2025</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19" w:type="dxa"/>
            <w:tcBorders/>
            <w:shd w:fill="CCEEFF" w:val="clear"/>
            <w:vAlign w:val="center"/>
          </w:tcPr>
          <w:p>
            <w:pPr>
              <w:pStyle w:val="TableContents"/>
              <w:bidi w:val="0"/>
              <w:spacing w:lineRule="auto" w:line="285" w:before="0" w:after="0"/>
              <w:ind w:left="0" w:right="0" w:hanging="0"/>
              <w:jc w:val="left"/>
              <w:rPr/>
            </w:pPr>
            <w:r>
              <w:rPr/>
              <w:t>​</w:t>
            </w:r>
          </w:p>
        </w:tc>
        <w:tc>
          <w:tcPr>
            <w:tcW w:w="900" w:type="dxa"/>
            <w:tcBorders/>
            <w:shd w:fill="CCEEFF" w:val="clear"/>
            <w:vAlign w:val="center"/>
          </w:tcPr>
          <w:p>
            <w:pPr>
              <w:pStyle w:val="TableContents"/>
              <w:bidi w:val="0"/>
              <w:spacing w:lineRule="auto" w:line="285" w:before="0" w:after="0"/>
              <w:ind w:left="0" w:right="0" w:hanging="0"/>
              <w:jc w:val="right"/>
              <w:rPr>
                <w:caps w:val="false"/>
                <w:smallCaps w:val="false"/>
              </w:rPr>
            </w:pPr>
            <w:r>
              <w:rPr>
                <w:caps w:val="false"/>
                <w:smallCaps w:val="false"/>
              </w:rPr>
              <w:t>—</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47" w:type="dxa"/>
            <w:tcBorders/>
            <w:shd w:fill="CCEEFF" w:val="clear"/>
            <w:vAlign w:val="center"/>
          </w:tcPr>
          <w:p>
            <w:pPr>
              <w:pStyle w:val="TableContents"/>
              <w:bidi w:val="0"/>
              <w:spacing w:lineRule="auto" w:line="285" w:before="0" w:after="0"/>
              <w:ind w:left="0" w:right="0" w:hanging="0"/>
              <w:jc w:val="left"/>
              <w:rPr/>
            </w:pPr>
            <w:r>
              <w:rPr/>
              <w:t>​</w:t>
            </w:r>
          </w:p>
        </w:tc>
        <w:tc>
          <w:tcPr>
            <w:tcW w:w="1075" w:type="dxa"/>
            <w:tcBorders/>
            <w:shd w:fill="CCEEFF" w:val="clear"/>
            <w:vAlign w:val="center"/>
          </w:tcPr>
          <w:p>
            <w:pPr>
              <w:pStyle w:val="TableContents"/>
              <w:bidi w:val="0"/>
              <w:spacing w:lineRule="auto" w:line="285" w:before="0" w:after="0"/>
              <w:ind w:left="0" w:right="0" w:hanging="0"/>
              <w:jc w:val="right"/>
              <w:rPr>
                <w:caps w:val="false"/>
                <w:smallCaps w:val="false"/>
              </w:rPr>
            </w:pPr>
            <w:r>
              <w:rPr>
                <w:caps w:val="false"/>
                <w:smallCaps w:val="false"/>
              </w:rPr>
              <w:t>—</w:t>
            </w:r>
          </w:p>
        </w:tc>
      </w:tr>
      <w:tr>
        <w:trPr/>
        <w:tc>
          <w:tcPr>
            <w:tcW w:w="7546"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Common stock, $0.001 par value per share, 100,000,000 shares authorized as of June 30, 2026 and December 31, 2025; 6,575,656 and 2,308,294 shares issued and outstanding as of June 30, 2026 and December 31, 2025, respectively</w:t>
            </w:r>
          </w:p>
        </w:tc>
        <w:tc>
          <w:tcPr>
            <w:tcW w:w="109" w:type="dxa"/>
            <w:tcBorders/>
            <w:vAlign w:val="center"/>
          </w:tcPr>
          <w:p>
            <w:pPr>
              <w:pStyle w:val="TableContents"/>
              <w:bidi w:val="0"/>
              <w:spacing w:lineRule="auto" w:line="285" w:before="0" w:after="0"/>
              <w:ind w:left="0" w:right="0" w:hanging="0"/>
              <w:jc w:val="left"/>
              <w:rPr/>
            </w:pPr>
            <w:r>
              <w:rPr/>
              <w:t>​</w:t>
            </w:r>
          </w:p>
        </w:tc>
        <w:tc>
          <w:tcPr>
            <w:tcW w:w="219" w:type="dxa"/>
            <w:tcBorders/>
            <w:vAlign w:val="center"/>
          </w:tcPr>
          <w:p>
            <w:pPr>
              <w:pStyle w:val="TableContents"/>
              <w:bidi w:val="0"/>
              <w:spacing w:lineRule="auto" w:line="285" w:before="0" w:after="0"/>
              <w:ind w:left="0" w:right="0" w:hanging="0"/>
              <w:jc w:val="left"/>
              <w:rPr/>
            </w:pPr>
            <w:r>
              <w:rPr/>
              <w:t> </w:t>
            </w:r>
          </w:p>
        </w:tc>
        <w:tc>
          <w:tcPr>
            <w:tcW w:w="900"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7</w:t>
            </w:r>
          </w:p>
        </w:tc>
        <w:tc>
          <w:tcPr>
            <w:tcW w:w="109" w:type="dxa"/>
            <w:tcBorders/>
            <w:vAlign w:val="center"/>
          </w:tcPr>
          <w:p>
            <w:pPr>
              <w:pStyle w:val="TableContents"/>
              <w:bidi w:val="0"/>
              <w:spacing w:lineRule="auto" w:line="285" w:before="0" w:after="0"/>
              <w:ind w:left="0" w:right="0" w:hanging="0"/>
              <w:jc w:val="left"/>
              <w:rPr/>
            </w:pPr>
            <w:r>
              <w:rPr/>
              <w:t>​</w:t>
            </w:r>
          </w:p>
        </w:tc>
        <w:tc>
          <w:tcPr>
            <w:tcW w:w="247" w:type="dxa"/>
            <w:tcBorders/>
            <w:vAlign w:val="center"/>
          </w:tcPr>
          <w:p>
            <w:pPr>
              <w:pStyle w:val="TableContents"/>
              <w:bidi w:val="0"/>
              <w:spacing w:lineRule="auto" w:line="285" w:before="0" w:after="0"/>
              <w:ind w:left="0" w:right="0" w:hanging="0"/>
              <w:jc w:val="left"/>
              <w:rPr/>
            </w:pPr>
            <w:r>
              <w:rPr/>
              <w:t> </w:t>
            </w:r>
          </w:p>
        </w:tc>
        <w:tc>
          <w:tcPr>
            <w:tcW w:w="1075"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w:t>
            </w:r>
          </w:p>
        </w:tc>
      </w:tr>
      <w:tr>
        <w:trPr/>
        <w:tc>
          <w:tcPr>
            <w:tcW w:w="754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Additional paid–in capital</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19" w:type="dxa"/>
            <w:tcBorders/>
            <w:shd w:fill="CCEEFF" w:val="clear"/>
            <w:vAlign w:val="center"/>
          </w:tcPr>
          <w:p>
            <w:pPr>
              <w:pStyle w:val="TableContents"/>
              <w:bidi w:val="0"/>
              <w:spacing w:lineRule="auto" w:line="285" w:before="0" w:after="0"/>
              <w:ind w:left="0" w:right="0" w:hanging="0"/>
              <w:jc w:val="left"/>
              <w:rPr/>
            </w:pPr>
            <w:r>
              <w:rPr/>
              <w:t> </w:t>
            </w:r>
          </w:p>
        </w:tc>
        <w:tc>
          <w:tcPr>
            <w:tcW w:w="900"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164,784</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47" w:type="dxa"/>
            <w:tcBorders/>
            <w:shd w:fill="CCEEFF" w:val="clear"/>
            <w:vAlign w:val="center"/>
          </w:tcPr>
          <w:p>
            <w:pPr>
              <w:pStyle w:val="TableContents"/>
              <w:bidi w:val="0"/>
              <w:spacing w:lineRule="auto" w:line="285" w:before="0" w:after="0"/>
              <w:ind w:left="0" w:right="0" w:hanging="0"/>
              <w:jc w:val="left"/>
              <w:rPr/>
            </w:pPr>
            <w:r>
              <w:rPr/>
              <w:t> </w:t>
            </w:r>
          </w:p>
        </w:tc>
        <w:tc>
          <w:tcPr>
            <w:tcW w:w="1075"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154,161</w:t>
            </w:r>
          </w:p>
        </w:tc>
      </w:tr>
      <w:tr>
        <w:trPr/>
        <w:tc>
          <w:tcPr>
            <w:tcW w:w="7546"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Accumulated deficit</w:t>
            </w:r>
          </w:p>
        </w:tc>
        <w:tc>
          <w:tcPr>
            <w:tcW w:w="109"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219"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 </w:t>
            </w:r>
          </w:p>
        </w:tc>
        <w:tc>
          <w:tcPr>
            <w:tcW w:w="900"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(157,969)</w:t>
            </w:r>
          </w:p>
        </w:tc>
        <w:tc>
          <w:tcPr>
            <w:tcW w:w="109"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247"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 </w:t>
            </w:r>
          </w:p>
        </w:tc>
        <w:tc>
          <w:tcPr>
            <w:tcW w:w="1075"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(148,830)</w:t>
            </w:r>
          </w:p>
        </w:tc>
      </w:tr>
      <w:tr>
        <w:trPr/>
        <w:tc>
          <w:tcPr>
            <w:tcW w:w="754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 xml:space="preserve">Total stockholders’ equity </w:t>
            </w:r>
          </w:p>
        </w:tc>
        <w:tc>
          <w:tcPr>
            <w:tcW w:w="109"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219"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 </w:t>
            </w:r>
          </w:p>
        </w:tc>
        <w:tc>
          <w:tcPr>
            <w:tcW w:w="900"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6,822</w:t>
            </w:r>
          </w:p>
        </w:tc>
        <w:tc>
          <w:tcPr>
            <w:tcW w:w="109"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247"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 </w:t>
            </w:r>
          </w:p>
        </w:tc>
        <w:tc>
          <w:tcPr>
            <w:tcW w:w="1075"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5,333</w:t>
            </w:r>
          </w:p>
        </w:tc>
      </w:tr>
      <w:tr>
        <w:trPr/>
        <w:tc>
          <w:tcPr>
            <w:tcW w:w="7546"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 xml:space="preserve">Total liabilities and stockholders’ equity </w:t>
            </w:r>
          </w:p>
        </w:tc>
        <w:tc>
          <w:tcPr>
            <w:tcW w:w="109"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219"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00"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13,271</w:t>
            </w:r>
          </w:p>
        </w:tc>
        <w:tc>
          <w:tcPr>
            <w:tcW w:w="109"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247"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75" w:type="dxa"/>
            <w:tcBorders>
              <w:bottom w:val="double" w:sz="6" w:space="0" w:color="000000"/>
            </w:tcBorders>
            <w:tcMar>
              <w:bottom w:w="28" w:type="dxa"/>
            </w:tcMar>
            <w:vAlign w:val="center"/>
          </w:tcPr>
          <w:p>
            <w:pPr>
              <w:pStyle w:val="TableContents"/>
              <w:bidi w:val="0"/>
              <w:spacing w:lineRule="auto" w:line="285" w:before="0" w:after="0"/>
              <w:ind w:left="0" w:right="70" w:hanging="0"/>
              <w:jc w:val="right"/>
              <w:rPr>
                <w:rFonts w:ascii="Times New Roman;Times;serif" w:hAnsi="Times New Roman;Times;serif"/>
                <w:sz w:val="20"/>
              </w:rPr>
            </w:pPr>
            <w:r>
              <w:rPr>
                <w:rFonts w:ascii="Times New Roman;Times;serif" w:hAnsi="Times New Roman;Times;serif"/>
                <w:sz w:val="20"/>
              </w:rPr>
              <w:t>11,123</w:t>
            </w:r>
          </w:p>
        </w:tc>
      </w:tr>
    </w:tbl>
    <w:p>
      <w:pPr>
        <w:pStyle w:val="TextBody"/>
        <w:bidi w:val="0"/>
        <w:spacing w:lineRule="auto" w:line="285" w:before="0" w:after="0"/>
        <w:ind w:left="0" w:right="0" w:hanging="0"/>
        <w:jc w:val="center"/>
        <w:rPr/>
      </w:pPr>
      <w:r>
        <w:rPr/>
        <w:t>​</w:t>
      </w:r>
    </w:p>
    <w:p>
      <w:pPr>
        <w:pStyle w:val="TextBody"/>
        <w:bidi w:val="0"/>
        <w:spacing w:lineRule="auto" w:line="285" w:before="0" w:after="0"/>
        <w:ind w:left="0" w:right="0" w:hanging="0"/>
        <w:jc w:val="center"/>
        <w:rPr/>
      </w:pPr>
      <w:r>
        <w:rPr/>
        <w:t>​</w:t>
      </w:r>
    </w:p>
    <w:p>
      <w:pPr>
        <w:pStyle w:val="TextBody"/>
        <w:bidi w:val="0"/>
        <w:spacing w:lineRule="auto" w:line="285" w:before="0" w:after="0"/>
        <w:ind w:left="0" w:right="0" w:hanging="0"/>
        <w:jc w:val="center"/>
        <w:rPr/>
      </w:pPr>
      <w:r>
        <w:rPr/>
        <w:t>​</w:t>
      </w:r>
    </w:p>
    <w:p>
      <w:pPr>
        <w:pStyle w:val="TextBody"/>
        <w:bidi w:val="0"/>
        <w:spacing w:lineRule="auto" w:line="285" w:before="0" w:after="0"/>
        <w:ind w:left="0" w:right="0" w:hanging="0"/>
        <w:jc w:val="center"/>
        <w:rPr/>
      </w:pPr>
      <w:r>
        <w:rPr/>
        <w:t>​</w:t>
      </w:r>
    </w:p>
    <w:p>
      <w:pPr>
        <w:pStyle w:val="TextBody"/>
        <w:bidi w:val="0"/>
        <w:spacing w:lineRule="auto" w:line="285" w:before="0" w:after="0"/>
        <w:ind w:left="0" w:right="0" w:hanging="0"/>
        <w:jc w:val="center"/>
        <w:rPr/>
      </w:pPr>
      <w:r>
        <w:rPr/>
        <w:t>​</w:t>
      </w:r>
    </w:p>
    <w:p>
      <w:pPr>
        <w:pStyle w:val="TextBody"/>
        <w:bidi w:val="0"/>
        <w:spacing w:lineRule="auto" w:line="285" w:before="0" w:after="0"/>
        <w:ind w:left="0" w:right="0" w:hanging="0"/>
        <w:jc w:val="center"/>
        <w:rPr/>
      </w:pPr>
      <w:r>
        <w:rPr/>
        <w:t>​</w:t>
      </w:r>
    </w:p>
    <w:p>
      <w:pPr>
        <w:pStyle w:val="TextBody"/>
        <w:shd w:fill="FFFFFF" w:val="clear"/>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The accompanying notes are an integral part of these unaudited condensed consolidated financial statements.</w:t>
      </w:r>
    </w:p>
    <w:p>
      <w:pPr>
        <w:pStyle w:val="TextBody"/>
        <w:bidi w:val="0"/>
        <w:spacing w:lineRule="auto" w:line="285" w:before="0" w:after="0"/>
        <w:ind w:left="0" w:right="0" w:hanging="0"/>
        <w:jc w:val="left"/>
        <w:rPr/>
      </w:pPr>
      <w:r>
        <w:rPr/>
        <w:t>​</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3</w:t>
      </w:r>
    </w:p>
    <w:p>
      <w:pPr>
        <w:pStyle w:val="TextBody"/>
        <w:bidi w:val="0"/>
        <w:spacing w:lineRule="auto" w:line="285"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r>
        <w:rPr>
          <w:rFonts w:ascii="Times New Roman;Times;serif" w:hAnsi="Times New Roman;Times;serif"/>
          <w:color w:val="0563C1"/>
          <w:sz w:val="20"/>
        </w:rPr>
        <w:t xml:space="preserve"> </w:t>
      </w:r>
    </w:p>
    <w:p>
      <w:pPr>
        <w:pStyle w:val="TextBody"/>
        <w:bidi w:val="0"/>
        <w:spacing w:lineRule="auto" w:line="285" w:before="0" w:after="0"/>
        <w:ind w:left="0" w:right="0" w:hanging="0"/>
        <w:jc w:val="center"/>
        <w:rPr>
          <w:rFonts w:ascii="Times New Roman;Times;serif" w:hAnsi="Times New Roman;Times;serif"/>
          <w:b/>
          <w:sz w:val="20"/>
        </w:rPr>
      </w:pPr>
      <w:bookmarkStart w:id="123" w:name="_82dda70e_48ea_4e8b_bee2_9212609fe2d9"/>
      <w:bookmarkEnd w:id="123"/>
      <w:r>
        <w:rPr>
          <w:rFonts w:ascii="Times New Roman;Times;serif" w:hAnsi="Times New Roman;Times;serif"/>
          <w:b/>
          <w:sz w:val="20"/>
        </w:rPr>
        <w:t>MetaVia Inc.</w:t>
      </w:r>
    </w:p>
    <w:p>
      <w:pPr>
        <w:pStyle w:val="TextBody"/>
        <w:bidi w:val="0"/>
        <w:spacing w:lineRule="auto" w:line="285" w:before="0" w:after="0"/>
        <w:ind w:left="0" w:right="0" w:hanging="0"/>
        <w:jc w:val="center"/>
        <w:rPr>
          <w:rFonts w:ascii="Times New Roman;Times;serif" w:hAnsi="Times New Roman;Times;serif"/>
          <w:b/>
          <w:sz w:val="20"/>
        </w:rPr>
      </w:pPr>
      <w:bookmarkStart w:id="124" w:name="ComprehensiveLoss_1868"/>
      <w:bookmarkEnd w:id="124"/>
      <w:r>
        <w:rPr>
          <w:rFonts w:ascii="Times New Roman;Times;serif" w:hAnsi="Times New Roman;Times;serif"/>
          <w:b/>
          <w:sz w:val="20"/>
        </w:rPr>
        <w:t>Condensed Consolidated Statements of Operations</w:t>
      </w:r>
    </w:p>
    <w:p>
      <w:pPr>
        <w:pStyle w:val="TextBody"/>
        <w:bidi w:val="0"/>
        <w:spacing w:lineRule="auto" w:line="285" w:before="0" w:after="0"/>
        <w:ind w:left="0" w:right="0" w:hanging="0"/>
        <w:jc w:val="center"/>
        <w:rPr>
          <w:rFonts w:ascii="Times New Roman;Times;serif" w:hAnsi="Times New Roman;Times;serif"/>
          <w:sz w:val="16"/>
        </w:rPr>
      </w:pPr>
      <w:r>
        <w:rPr>
          <w:rFonts w:ascii="Times New Roman;Times;serif" w:hAnsi="Times New Roman;Times;serif"/>
          <w:sz w:val="16"/>
        </w:rPr>
        <w:t>(Unaudited - In thousands, except share and per share amounts)</w:t>
      </w:r>
    </w:p>
    <w:p>
      <w:pPr>
        <w:pStyle w:val="TextBody"/>
        <w:bidi w:val="0"/>
        <w:spacing w:lineRule="auto" w:line="285" w:before="0" w:after="0"/>
        <w:ind w:left="0" w:right="0" w:hanging="0"/>
        <w:jc w:val="center"/>
        <w:rPr/>
      </w:pPr>
      <w:r>
        <w:rPr/>
        <w:t>​</w:t>
      </w:r>
    </w:p>
    <w:p>
      <w:pPr>
        <w:pStyle w:val="Normal"/>
        <w:bidi w:val="0"/>
        <w:spacing w:before="0" w:after="0"/>
        <w:jc w:val="left"/>
        <w:rPr>
          <w:sz w:val="4"/>
          <w:szCs w:val="4"/>
        </w:rPr>
      </w:pPr>
      <w:r>
        <w:rPr>
          <w:sz w:val="4"/>
          <w:szCs w:val="4"/>
        </w:rPr>
      </w:r>
      <w:bookmarkStart w:id="125" w:name="Tc_pL1SuPtd6E-WLGKVynnbOQ_16_0"/>
      <w:bookmarkStart w:id="126" w:name="Tc_wED05WwN1UeMj0absEwxjQ_15_11"/>
      <w:bookmarkStart w:id="127" w:name="Tc_wYInNgTNAky9WXU9UvFsvA_15_8"/>
      <w:bookmarkStart w:id="128" w:name="Tc_lY-7NBiI2E6PC-YS8c5Ecw_15_5"/>
      <w:bookmarkStart w:id="129" w:name="Tc_iq9urRBsY0GEviW3CZ0DRQ_15_2"/>
      <w:bookmarkStart w:id="130" w:name="Tc_JXAwfXsM-k6MznE1t78p4A_15_0"/>
      <w:bookmarkStart w:id="131" w:name="Tc_SaXRdAGcgEe1xKeyQXDh9Q_14_0"/>
      <w:bookmarkStart w:id="132" w:name="Tc_A7ekuuQyAUaXj3WGSZEhzw_13_0"/>
      <w:bookmarkStart w:id="133" w:name="Tc_APd-KA3YxUi63X1_is3uUQ_12_0"/>
      <w:bookmarkStart w:id="134" w:name="Tc_ihEg2GgvH0W00Q_JOb71lg_11_0"/>
      <w:bookmarkStart w:id="135" w:name="Tc_SxEnBI9sike0ipwhoiAuLQ_10_0"/>
      <w:bookmarkStart w:id="136" w:name="Tc_8RgqjR5kyE201trYHM3t6Q_9_0"/>
      <w:bookmarkStart w:id="137" w:name="Tc_Lthc8nC9lUiaFJ7gpdkBhg_8_0"/>
      <w:bookmarkStart w:id="138" w:name="Tc_od0XYLy_sE6CER-WqytbzQ_7_0"/>
      <w:bookmarkStart w:id="139" w:name="Tc_FxliRMQlGUuDlYP7CN3O9w_6_0"/>
      <w:bookmarkStart w:id="140" w:name="Tc_8F4L4jJsdkKnaB0bpsDLyg_5_0"/>
      <w:bookmarkStart w:id="141" w:name="Tc_vAxPfoLrpE2OKy7xOV0Ctw_4_11"/>
      <w:bookmarkStart w:id="142" w:name="Tc_EK667nRFtkmTNvmmoqgU-w_4_8"/>
      <w:bookmarkStart w:id="143" w:name="Tc_wmhIJoxMTU2BPgmHUvi6PA_4_5"/>
      <w:bookmarkStart w:id="144" w:name="Tc_N5gp5vNjxEi01sTq3WRr2A_4_2"/>
      <w:bookmarkStart w:id="145" w:name="Tc_DUbaoDckzkeXtbXUA_kGNA_4_0"/>
      <w:bookmarkStart w:id="146" w:name="Tc_d4FuYh1VfkGRQLo1nFPxLg_3_0"/>
      <w:bookmarkStart w:id="147" w:name="Tc_CsOTbuucEkeedZSWyqeRlg_2_11"/>
      <w:bookmarkStart w:id="148" w:name="Tc_MBB8k5WEC0CAVIFX6PQoQw_2_8"/>
      <w:bookmarkStart w:id="149" w:name="Tc_Xk3XN1XbqUWk3J7_HsB_oQ_2_5"/>
      <w:bookmarkStart w:id="150" w:name="Tc_eFg45PlhAkCy2TjHoxc7Nw_2_2"/>
      <w:bookmarkStart w:id="151" w:name="Tc_TeFuRfRJ40O9Y9xXsj9G1Q_1_8"/>
      <w:bookmarkStart w:id="152" w:name="Tc_SmtNmPS74E20BqVJ4edb0g_1_2"/>
      <w:bookmarkStart w:id="153" w:name="_e5d66e2e_57c4_4ebd_83fd_f95fa72e8c8f"/>
      <w:bookmarkStart w:id="154" w:name="_083671e4_c62e_4305_b23c_c6bec4d9e8a0"/>
      <w:bookmarkStart w:id="155" w:name="Tc_pL1SuPtd6E-WLGKVynnbOQ_16_0"/>
      <w:bookmarkStart w:id="156" w:name="Tc_wED05WwN1UeMj0absEwxjQ_15_11"/>
      <w:bookmarkStart w:id="157" w:name="Tc_wYInNgTNAky9WXU9UvFsvA_15_8"/>
      <w:bookmarkStart w:id="158" w:name="Tc_lY-7NBiI2E6PC-YS8c5Ecw_15_5"/>
      <w:bookmarkStart w:id="159" w:name="Tc_iq9urRBsY0GEviW3CZ0DRQ_15_2"/>
      <w:bookmarkStart w:id="160" w:name="Tc_JXAwfXsM-k6MznE1t78p4A_15_0"/>
      <w:bookmarkStart w:id="161" w:name="Tc_SaXRdAGcgEe1xKeyQXDh9Q_14_0"/>
      <w:bookmarkStart w:id="162" w:name="Tc_A7ekuuQyAUaXj3WGSZEhzw_13_0"/>
      <w:bookmarkStart w:id="163" w:name="Tc_APd-KA3YxUi63X1_is3uUQ_12_0"/>
      <w:bookmarkStart w:id="164" w:name="Tc_ihEg2GgvH0W00Q_JOb71lg_11_0"/>
      <w:bookmarkStart w:id="165" w:name="Tc_SxEnBI9sike0ipwhoiAuLQ_10_0"/>
      <w:bookmarkStart w:id="166" w:name="Tc_8RgqjR5kyE201trYHM3t6Q_9_0"/>
      <w:bookmarkStart w:id="167" w:name="Tc_Lthc8nC9lUiaFJ7gpdkBhg_8_0"/>
      <w:bookmarkStart w:id="168" w:name="Tc_od0XYLy_sE6CER-WqytbzQ_7_0"/>
      <w:bookmarkStart w:id="169" w:name="Tc_FxliRMQlGUuDlYP7CN3O9w_6_0"/>
      <w:bookmarkStart w:id="170" w:name="Tc_8F4L4jJsdkKnaB0bpsDLyg_5_0"/>
      <w:bookmarkStart w:id="171" w:name="Tc_vAxPfoLrpE2OKy7xOV0Ctw_4_11"/>
      <w:bookmarkStart w:id="172" w:name="Tc_EK667nRFtkmTNvmmoqgU-w_4_8"/>
      <w:bookmarkStart w:id="173" w:name="Tc_wmhIJoxMTU2BPgmHUvi6PA_4_5"/>
      <w:bookmarkStart w:id="174" w:name="Tc_N5gp5vNjxEi01sTq3WRr2A_4_2"/>
      <w:bookmarkStart w:id="175" w:name="Tc_DUbaoDckzkeXtbXUA_kGNA_4_0"/>
      <w:bookmarkStart w:id="176" w:name="Tc_d4FuYh1VfkGRQLo1nFPxLg_3_0"/>
      <w:bookmarkStart w:id="177" w:name="Tc_CsOTbuucEkeedZSWyqeRlg_2_11"/>
      <w:bookmarkStart w:id="178" w:name="Tc_MBB8k5WEC0CAVIFX6PQoQw_2_8"/>
      <w:bookmarkStart w:id="179" w:name="Tc_Xk3XN1XbqUWk3J7_HsB_oQ_2_5"/>
      <w:bookmarkStart w:id="180" w:name="Tc_eFg45PlhAkCy2TjHoxc7Nw_2_2"/>
      <w:bookmarkStart w:id="181" w:name="Tc_TeFuRfRJ40O9Y9xXsj9G1Q_1_8"/>
      <w:bookmarkStart w:id="182" w:name="Tc_SmtNmPS74E20BqVJ4edb0g_1_2"/>
      <w:bookmarkStart w:id="183" w:name="_e5d66e2e_57c4_4ebd_83fd_f95fa72e8c8f"/>
      <w:bookmarkStart w:id="184" w:name="_083671e4_c62e_4305_b23c_c6bec4d9e8a0"/>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p>
    <w:tbl>
      <w:tblPr>
        <w:tblW w:w="10205" w:type="dxa"/>
        <w:jc w:val="left"/>
        <w:tblInd w:w="0" w:type="dxa"/>
        <w:tblLayout w:type="fixed"/>
        <w:tblCellMar>
          <w:top w:w="0" w:type="dxa"/>
          <w:left w:w="0" w:type="dxa"/>
          <w:bottom w:w="0" w:type="dxa"/>
          <w:right w:w="0" w:type="dxa"/>
        </w:tblCellMar>
      </w:tblPr>
      <w:tblGrid>
        <w:gridCol w:w="4138"/>
        <w:gridCol w:w="346"/>
        <w:gridCol w:w="211"/>
        <w:gridCol w:w="931"/>
        <w:gridCol w:w="346"/>
        <w:gridCol w:w="211"/>
        <w:gridCol w:w="931"/>
        <w:gridCol w:w="346"/>
        <w:gridCol w:w="211"/>
        <w:gridCol w:w="931"/>
        <w:gridCol w:w="346"/>
        <w:gridCol w:w="211"/>
        <w:gridCol w:w="1046"/>
      </w:tblGrid>
      <w:tr>
        <w:trPr/>
        <w:tc>
          <w:tcPr>
            <w:tcW w:w="413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2627630" cy="175260"/>
                      <wp:effectExtent l="0" t="0" r="0" b="0"/>
                      <wp:wrapNone/>
                      <wp:docPr id="25" name="Frame24"/>
                      <a:graphic xmlns:a="http://schemas.openxmlformats.org/drawingml/2006/main">
                        <a:graphicData uri="http://schemas.microsoft.com/office/word/2010/wordprocessingShape">
                          <wps:wsp>
                            <wps:cNvSpPr txBox="1"/>
                            <wps:spPr>
                              <a:xfrm>
                                <a:off x="0" y="0"/>
                                <a:ext cx="262763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6.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219710" cy="175260"/>
                      <wp:effectExtent l="0" t="0" r="0" b="0"/>
                      <wp:wrapNone/>
                      <wp:docPr id="26" name="Frame2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133985" cy="175260"/>
                      <wp:effectExtent l="0" t="0" r="0" b="0"/>
                      <wp:wrapNone/>
                      <wp:docPr id="27" name="Frame2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591185" cy="175260"/>
                      <wp:effectExtent l="0" t="0" r="0" b="0"/>
                      <wp:wrapNone/>
                      <wp:docPr id="28" name="Frame27"/>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219710" cy="175260"/>
                      <wp:effectExtent l="0" t="0" r="0" b="0"/>
                      <wp:wrapNone/>
                      <wp:docPr id="29" name="Frame2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133985" cy="175260"/>
                      <wp:effectExtent l="0" t="0" r="0" b="0"/>
                      <wp:wrapNone/>
                      <wp:docPr id="30" name="Frame2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591185" cy="175260"/>
                      <wp:effectExtent l="0" t="0" r="0" b="0"/>
                      <wp:wrapNone/>
                      <wp:docPr id="31" name="Frame30"/>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219710" cy="175260"/>
                      <wp:effectExtent l="0" t="0" r="0" b="0"/>
                      <wp:wrapNone/>
                      <wp:docPr id="32" name="Frame3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133985" cy="175260"/>
                      <wp:effectExtent l="0" t="0" r="0" b="0"/>
                      <wp:wrapNone/>
                      <wp:docPr id="33" name="Frame3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591185" cy="175260"/>
                      <wp:effectExtent l="0" t="0" r="0" b="0"/>
                      <wp:wrapNone/>
                      <wp:docPr id="34" name="Frame33"/>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219710" cy="175260"/>
                      <wp:effectExtent l="0" t="0" r="0" b="0"/>
                      <wp:wrapNone/>
                      <wp:docPr id="35" name="Frame3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133985" cy="175260"/>
                      <wp:effectExtent l="0" t="0" r="0" b="0"/>
                      <wp:wrapNone/>
                      <wp:docPr id="36" name="Frame3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0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64210" cy="175260"/>
                      <wp:effectExtent l="0" t="0" r="0" b="0"/>
                      <wp:wrapNone/>
                      <wp:docPr id="37" name="Frame36"/>
                      <a:graphic xmlns:a="http://schemas.openxmlformats.org/drawingml/2006/main">
                        <a:graphicData uri="http://schemas.microsoft.com/office/word/2010/wordprocessingShape">
                          <wps:wsp>
                            <wps:cNvSpPr txBox="1"/>
                            <wps:spPr>
                              <a:xfrm>
                                <a:off x="0" y="0"/>
                                <a:ext cx="6642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r>
      <w:tr>
        <w:trPr/>
        <w:tc>
          <w:tcPr>
            <w:tcW w:w="4138" w:type="dxa"/>
            <w:tcBorders/>
            <w:vAlign w:val="center"/>
          </w:tcPr>
          <w:p>
            <w:pPr>
              <w:pStyle w:val="TableContents"/>
              <w:bidi w:val="0"/>
              <w:spacing w:lineRule="auto" w:line="285" w:before="0" w:after="0"/>
              <w:ind w:left="0" w:right="0" w:hanging="0"/>
              <w:jc w:val="center"/>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2630" w:type="dxa"/>
            <w:gridSpan w:val="5"/>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Three Months Ended June 30,</w:t>
            </w:r>
          </w:p>
        </w:tc>
        <w:tc>
          <w:tcPr>
            <w:tcW w:w="346"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2745" w:type="dxa"/>
            <w:gridSpan w:val="5"/>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Six Months Ended June 30,</w:t>
            </w:r>
          </w:p>
        </w:tc>
      </w:tr>
      <w:tr>
        <w:trPr/>
        <w:tc>
          <w:tcPr>
            <w:tcW w:w="4138" w:type="dxa"/>
            <w:tcBorders>
              <w:bottom w:val="single" w:sz="2" w:space="0" w:color="000000"/>
            </w:tcBorders>
            <w:tcMar>
              <w:bottom w:w="28" w:type="dxa"/>
            </w:tcMar>
            <w:vAlign w:val="center"/>
          </w:tcPr>
          <w:p>
            <w:pPr>
              <w:pStyle w:val="TableContents"/>
              <w:bidi w:val="0"/>
              <w:spacing w:lineRule="auto" w:line="285" w:before="0" w:after="0"/>
              <w:ind w:left="0" w:right="0" w:hanging="0"/>
              <w:jc w:val="center"/>
              <w:rPr/>
            </w:pPr>
            <w:r>
              <w:rPr/>
              <w:t>​</w:t>
            </w:r>
          </w:p>
        </w:tc>
        <w:tc>
          <w:tcPr>
            <w:tcW w:w="346"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1142"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2026</w:t>
            </w:r>
          </w:p>
        </w:tc>
        <w:tc>
          <w:tcPr>
            <w:tcW w:w="346"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1142"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2025</w:t>
            </w:r>
          </w:p>
        </w:tc>
        <w:tc>
          <w:tcPr>
            <w:tcW w:w="346"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1142"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2026</w:t>
            </w:r>
          </w:p>
        </w:tc>
        <w:tc>
          <w:tcPr>
            <w:tcW w:w="346"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1257"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2025</w:t>
            </w:r>
          </w:p>
        </w:tc>
      </w:tr>
      <w:tr>
        <w:trPr/>
        <w:tc>
          <w:tcPr>
            <w:tcW w:w="4138"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Operating expenses</w:t>
            </w:r>
          </w:p>
        </w:tc>
        <w:tc>
          <w:tcPr>
            <w:tcW w:w="346" w:type="dxa"/>
            <w:tcBorders/>
            <w:shd w:fill="CCEEFF" w:val="clear"/>
            <w:vAlign w:val="center"/>
          </w:tcPr>
          <w:p>
            <w:pPr>
              <w:pStyle w:val="TableContents"/>
              <w:bidi w:val="0"/>
              <w:spacing w:lineRule="auto" w:line="285" w:before="0" w:after="0"/>
              <w:ind w:left="0" w:right="0" w:hanging="0"/>
              <w:jc w:val="left"/>
              <w:rPr/>
            </w:pPr>
            <w:r>
              <w:rPr/>
              <w:t>  ​ ​ ​</w:t>
            </w:r>
          </w:p>
        </w:tc>
        <w:tc>
          <w:tcPr>
            <w:tcW w:w="211" w:type="dxa"/>
            <w:tcBorders/>
            <w:shd w:fill="CCEEFF" w:val="clear"/>
            <w:vAlign w:val="center"/>
          </w:tcPr>
          <w:p>
            <w:pPr>
              <w:pStyle w:val="TableContents"/>
              <w:bidi w:val="0"/>
              <w:spacing w:lineRule="auto" w:line="285" w:before="0" w:after="0"/>
              <w:ind w:left="0" w:right="0" w:hanging="0"/>
              <w:jc w:val="left"/>
              <w:rPr/>
            </w:pPr>
            <w:r>
              <w:rPr/>
              <w:t>​</w:t>
            </w:r>
          </w:p>
        </w:tc>
        <w:tc>
          <w:tcPr>
            <w:tcW w:w="931" w:type="dxa"/>
            <w:tcBorders/>
            <w:shd w:fill="CCEEFF" w:val="clear"/>
            <w:vAlign w:val="center"/>
          </w:tcPr>
          <w:p>
            <w:pPr>
              <w:pStyle w:val="TableContents"/>
              <w:bidi w:val="0"/>
              <w:spacing w:lineRule="auto" w:line="285" w:before="0" w:after="0"/>
              <w:ind w:left="0" w:right="0" w:hanging="0"/>
              <w:jc w:val="lef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  ​ ​ ​</w:t>
            </w:r>
          </w:p>
        </w:tc>
        <w:tc>
          <w:tcPr>
            <w:tcW w:w="211" w:type="dxa"/>
            <w:tcBorders/>
            <w:shd w:fill="CCEEFF" w:val="clear"/>
            <w:vAlign w:val="center"/>
          </w:tcPr>
          <w:p>
            <w:pPr>
              <w:pStyle w:val="TableContents"/>
              <w:bidi w:val="0"/>
              <w:spacing w:lineRule="auto" w:line="285" w:before="0" w:after="0"/>
              <w:ind w:left="0" w:right="0" w:hanging="0"/>
              <w:jc w:val="left"/>
              <w:rPr/>
            </w:pPr>
            <w:r>
              <w:rPr/>
              <w:t>​</w:t>
            </w:r>
          </w:p>
        </w:tc>
        <w:tc>
          <w:tcPr>
            <w:tcW w:w="931" w:type="dxa"/>
            <w:tcBorders/>
            <w:shd w:fill="CCEEFF" w:val="clear"/>
            <w:vAlign w:val="center"/>
          </w:tcPr>
          <w:p>
            <w:pPr>
              <w:pStyle w:val="TableContents"/>
              <w:bidi w:val="0"/>
              <w:spacing w:lineRule="auto" w:line="285" w:before="0" w:after="0"/>
              <w:ind w:left="0" w:right="0" w:hanging="0"/>
              <w:jc w:val="lef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  ​ ​ ​</w:t>
            </w:r>
          </w:p>
        </w:tc>
        <w:tc>
          <w:tcPr>
            <w:tcW w:w="211" w:type="dxa"/>
            <w:tcBorders/>
            <w:shd w:fill="CCEEFF" w:val="clear"/>
            <w:vAlign w:val="center"/>
          </w:tcPr>
          <w:p>
            <w:pPr>
              <w:pStyle w:val="TableContents"/>
              <w:bidi w:val="0"/>
              <w:spacing w:lineRule="auto" w:line="285" w:before="0" w:after="0"/>
              <w:ind w:left="0" w:right="0" w:hanging="0"/>
              <w:jc w:val="left"/>
              <w:rPr/>
            </w:pPr>
            <w:r>
              <w:rPr/>
              <w:t>​</w:t>
            </w:r>
          </w:p>
        </w:tc>
        <w:tc>
          <w:tcPr>
            <w:tcW w:w="931" w:type="dxa"/>
            <w:tcBorders/>
            <w:shd w:fill="CCEEFF" w:val="clear"/>
            <w:vAlign w:val="center"/>
          </w:tcPr>
          <w:p>
            <w:pPr>
              <w:pStyle w:val="TableContents"/>
              <w:bidi w:val="0"/>
              <w:spacing w:lineRule="auto" w:line="285" w:before="0" w:after="0"/>
              <w:ind w:left="0" w:right="0" w:hanging="0"/>
              <w:jc w:val="lef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  ​ ​ ​</w:t>
            </w:r>
          </w:p>
        </w:tc>
        <w:tc>
          <w:tcPr>
            <w:tcW w:w="211" w:type="dxa"/>
            <w:tcBorders/>
            <w:shd w:fill="CCEEFF" w:val="clear"/>
            <w:vAlign w:val="center"/>
          </w:tcPr>
          <w:p>
            <w:pPr>
              <w:pStyle w:val="TableContents"/>
              <w:bidi w:val="0"/>
              <w:spacing w:lineRule="auto" w:line="285" w:before="0" w:after="0"/>
              <w:ind w:left="0" w:right="0" w:hanging="0"/>
              <w:jc w:val="left"/>
              <w:rPr/>
            </w:pPr>
            <w:r>
              <w:rPr/>
              <w:t>​</w:t>
            </w:r>
          </w:p>
        </w:tc>
        <w:tc>
          <w:tcPr>
            <w:tcW w:w="1046" w:type="dxa"/>
            <w:tcBorders/>
            <w:shd w:fill="CCEEFF" w:val="clear"/>
            <w:vAlign w:val="center"/>
          </w:tcPr>
          <w:p>
            <w:pPr>
              <w:pStyle w:val="TableContents"/>
              <w:bidi w:val="0"/>
              <w:spacing w:lineRule="auto" w:line="285" w:before="0" w:after="0"/>
              <w:ind w:left="0" w:right="0" w:hanging="0"/>
              <w:jc w:val="left"/>
              <w:rPr/>
            </w:pPr>
            <w:r>
              <w:rPr/>
              <w:t>​</w:t>
            </w:r>
          </w:p>
        </w:tc>
      </w:tr>
      <w:tr>
        <w:trPr/>
        <w:tc>
          <w:tcPr>
            <w:tcW w:w="4138"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Research and development</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3,478</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2,320</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5,579</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46"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4,647</w:t>
            </w:r>
          </w:p>
        </w:tc>
      </w:tr>
      <w:tr>
        <w:trPr/>
        <w:tc>
          <w:tcPr>
            <w:tcW w:w="4138"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General and administrative</w:t>
            </w:r>
          </w:p>
        </w:tc>
        <w:tc>
          <w:tcPr>
            <w:tcW w:w="34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93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1,907</w:t>
            </w:r>
          </w:p>
        </w:tc>
        <w:tc>
          <w:tcPr>
            <w:tcW w:w="34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93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1,981</w:t>
            </w:r>
          </w:p>
        </w:tc>
        <w:tc>
          <w:tcPr>
            <w:tcW w:w="34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93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3,831</w:t>
            </w:r>
          </w:p>
        </w:tc>
        <w:tc>
          <w:tcPr>
            <w:tcW w:w="34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104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3,540</w:t>
            </w:r>
          </w:p>
        </w:tc>
      </w:tr>
      <w:tr>
        <w:trPr/>
        <w:tc>
          <w:tcPr>
            <w:tcW w:w="4138"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Total operating expenses</w:t>
            </w:r>
          </w:p>
        </w:tc>
        <w:tc>
          <w:tcPr>
            <w:tcW w:w="346"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5,385</w:t>
            </w:r>
          </w:p>
        </w:tc>
        <w:tc>
          <w:tcPr>
            <w:tcW w:w="346"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4,301</w:t>
            </w:r>
          </w:p>
        </w:tc>
        <w:tc>
          <w:tcPr>
            <w:tcW w:w="346"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9,410</w:t>
            </w:r>
          </w:p>
        </w:tc>
        <w:tc>
          <w:tcPr>
            <w:tcW w:w="346"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 </w:t>
            </w:r>
          </w:p>
        </w:tc>
        <w:tc>
          <w:tcPr>
            <w:tcW w:w="1046"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8,187</w:t>
            </w:r>
          </w:p>
        </w:tc>
      </w:tr>
      <w:tr>
        <w:trPr/>
        <w:tc>
          <w:tcPr>
            <w:tcW w:w="4138"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Loss from operations</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pPr>
            <w:r>
              <w:rPr/>
              <w:t> </w:t>
            </w:r>
          </w:p>
        </w:tc>
        <w:tc>
          <w:tcPr>
            <w:tcW w:w="93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(5,385)</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pPr>
            <w:r>
              <w:rPr/>
              <w:t> </w:t>
            </w:r>
          </w:p>
        </w:tc>
        <w:tc>
          <w:tcPr>
            <w:tcW w:w="93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(4,301)</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pPr>
            <w:r>
              <w:rPr/>
              <w:t> </w:t>
            </w:r>
          </w:p>
        </w:tc>
        <w:tc>
          <w:tcPr>
            <w:tcW w:w="93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(9,410)</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pPr>
            <w:r>
              <w:rPr/>
              <w:t> </w:t>
            </w:r>
          </w:p>
        </w:tc>
        <w:tc>
          <w:tcPr>
            <w:tcW w:w="1046"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(8,187)</w:t>
            </w:r>
          </w:p>
        </w:tc>
      </w:tr>
      <w:tr>
        <w:trPr/>
        <w:tc>
          <w:tcPr>
            <w:tcW w:w="4138"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Other income (expense)</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pPr>
            <w:r>
              <w:rPr/>
              <w:t>​</w:t>
            </w:r>
          </w:p>
        </w:tc>
        <w:tc>
          <w:tcPr>
            <w:tcW w:w="931" w:type="dxa"/>
            <w:tcBorders/>
            <w:vAlign w:val="center"/>
          </w:tcPr>
          <w:p>
            <w:pPr>
              <w:pStyle w:val="TableContents"/>
              <w:bidi w:val="0"/>
              <w:spacing w:lineRule="auto" w:line="285" w:before="0" w:after="0"/>
              <w:ind w:left="0" w:right="0" w:hanging="0"/>
              <w:jc w:val="righ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pPr>
            <w:r>
              <w:rPr/>
              <w:t>​</w:t>
            </w:r>
          </w:p>
        </w:tc>
        <w:tc>
          <w:tcPr>
            <w:tcW w:w="931" w:type="dxa"/>
            <w:tcBorders/>
            <w:vAlign w:val="center"/>
          </w:tcPr>
          <w:p>
            <w:pPr>
              <w:pStyle w:val="TableContents"/>
              <w:bidi w:val="0"/>
              <w:spacing w:lineRule="auto" w:line="285" w:before="0" w:after="0"/>
              <w:ind w:left="0" w:right="0" w:hanging="0"/>
              <w:jc w:val="righ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pPr>
            <w:r>
              <w:rPr/>
              <w:t>​</w:t>
            </w:r>
          </w:p>
        </w:tc>
        <w:tc>
          <w:tcPr>
            <w:tcW w:w="931" w:type="dxa"/>
            <w:tcBorders/>
            <w:vAlign w:val="center"/>
          </w:tcPr>
          <w:p>
            <w:pPr>
              <w:pStyle w:val="TableContents"/>
              <w:bidi w:val="0"/>
              <w:spacing w:lineRule="auto" w:line="285" w:before="0" w:after="0"/>
              <w:ind w:left="0" w:right="0" w:hanging="0"/>
              <w:jc w:val="righ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pPr>
            <w:r>
              <w:rPr/>
              <w:t>​</w:t>
            </w:r>
          </w:p>
        </w:tc>
        <w:tc>
          <w:tcPr>
            <w:tcW w:w="1046" w:type="dxa"/>
            <w:tcBorders/>
            <w:vAlign w:val="center"/>
          </w:tcPr>
          <w:p>
            <w:pPr>
              <w:pStyle w:val="TableContents"/>
              <w:bidi w:val="0"/>
              <w:spacing w:lineRule="auto" w:line="285" w:before="0" w:after="0"/>
              <w:ind w:left="0" w:right="0" w:hanging="0"/>
              <w:jc w:val="right"/>
              <w:rPr/>
            </w:pPr>
            <w:r>
              <w:rPr/>
              <w:t>​</w:t>
            </w:r>
          </w:p>
        </w:tc>
      </w:tr>
      <w:tr>
        <w:trPr/>
        <w:tc>
          <w:tcPr>
            <w:tcW w:w="4138"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(Loss) gain from change in fair value of warrant liabilities</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pPr>
            <w:r>
              <w:rPr/>
              <w:t>​</w:t>
            </w:r>
          </w:p>
        </w:tc>
        <w:tc>
          <w:tcPr>
            <w:tcW w:w="93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(4)</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pPr>
            <w:r>
              <w:rPr/>
              <w:t>​</w:t>
            </w:r>
          </w:p>
        </w:tc>
        <w:tc>
          <w:tcPr>
            <w:tcW w:w="93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160</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pPr>
            <w:r>
              <w:rPr/>
              <w:t>​</w:t>
            </w:r>
          </w:p>
        </w:tc>
        <w:tc>
          <w:tcPr>
            <w:tcW w:w="93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113</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pPr>
            <w:r>
              <w:rPr/>
              <w:t>​</w:t>
            </w:r>
          </w:p>
        </w:tc>
        <w:tc>
          <w:tcPr>
            <w:tcW w:w="1046"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247</w:t>
            </w:r>
          </w:p>
        </w:tc>
      </w:tr>
      <w:tr>
        <w:trPr/>
        <w:tc>
          <w:tcPr>
            <w:tcW w:w="4138"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Interest income, net</w:t>
            </w:r>
          </w:p>
        </w:tc>
        <w:tc>
          <w:tcPr>
            <w:tcW w:w="346"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73</w:t>
            </w:r>
          </w:p>
        </w:tc>
        <w:tc>
          <w:tcPr>
            <w:tcW w:w="346"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146</w:t>
            </w:r>
          </w:p>
        </w:tc>
        <w:tc>
          <w:tcPr>
            <w:tcW w:w="346"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158</w:t>
            </w:r>
          </w:p>
        </w:tc>
        <w:tc>
          <w:tcPr>
            <w:tcW w:w="346"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1046"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274</w:t>
            </w:r>
          </w:p>
        </w:tc>
      </w:tr>
      <w:tr>
        <w:trPr/>
        <w:tc>
          <w:tcPr>
            <w:tcW w:w="4138"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Total other income</w:t>
            </w:r>
          </w:p>
        </w:tc>
        <w:tc>
          <w:tcPr>
            <w:tcW w:w="34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93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69</w:t>
            </w:r>
          </w:p>
        </w:tc>
        <w:tc>
          <w:tcPr>
            <w:tcW w:w="34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93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306</w:t>
            </w:r>
          </w:p>
        </w:tc>
        <w:tc>
          <w:tcPr>
            <w:tcW w:w="34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93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271</w:t>
            </w:r>
          </w:p>
        </w:tc>
        <w:tc>
          <w:tcPr>
            <w:tcW w:w="34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104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521</w:t>
            </w:r>
          </w:p>
        </w:tc>
      </w:tr>
      <w:tr>
        <w:trPr/>
        <w:tc>
          <w:tcPr>
            <w:tcW w:w="4138"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Loss before income taxes</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right"/>
              <w:rPr/>
            </w:pPr>
            <w:r>
              <w:rPr/>
              <w:t>​</w:t>
            </w:r>
          </w:p>
        </w:tc>
        <w:tc>
          <w:tcPr>
            <w:tcW w:w="931"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(5,316)</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pPr>
            <w:r>
              <w:rPr/>
              <w:t>​</w:t>
            </w:r>
          </w:p>
        </w:tc>
        <w:tc>
          <w:tcPr>
            <w:tcW w:w="931"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(3,995)</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pPr>
            <w:r>
              <w:rPr/>
              <w:t>​</w:t>
            </w:r>
          </w:p>
        </w:tc>
        <w:tc>
          <w:tcPr>
            <w:tcW w:w="931"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(9,139)</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pPr>
            <w:r>
              <w:rPr/>
              <w:t>​</w:t>
            </w:r>
          </w:p>
        </w:tc>
        <w:tc>
          <w:tcPr>
            <w:tcW w:w="1046"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(7,666)</w:t>
            </w:r>
          </w:p>
        </w:tc>
      </w:tr>
      <w:tr>
        <w:trPr/>
        <w:tc>
          <w:tcPr>
            <w:tcW w:w="4138"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Provision for income taxes</w:t>
            </w:r>
          </w:p>
        </w:tc>
        <w:tc>
          <w:tcPr>
            <w:tcW w:w="34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93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pPr>
            <w:r>
              <w:rPr/>
              <w:t>—</w:t>
            </w:r>
          </w:p>
        </w:tc>
        <w:tc>
          <w:tcPr>
            <w:tcW w:w="34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 </w:t>
            </w:r>
          </w:p>
        </w:tc>
        <w:tc>
          <w:tcPr>
            <w:tcW w:w="93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pPr>
            <w:r>
              <w:rPr/>
              <w:t>—</w:t>
            </w:r>
          </w:p>
        </w:tc>
        <w:tc>
          <w:tcPr>
            <w:tcW w:w="34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93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pPr>
            <w:r>
              <w:rPr/>
              <w:t>—</w:t>
            </w:r>
          </w:p>
        </w:tc>
        <w:tc>
          <w:tcPr>
            <w:tcW w:w="34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 </w:t>
            </w:r>
          </w:p>
        </w:tc>
        <w:tc>
          <w:tcPr>
            <w:tcW w:w="104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pPr>
            <w:r>
              <w:rPr/>
              <w:t>—</w:t>
            </w:r>
          </w:p>
        </w:tc>
      </w:tr>
      <w:tr>
        <w:trPr/>
        <w:tc>
          <w:tcPr>
            <w:tcW w:w="4138"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Net loss</w:t>
            </w:r>
          </w:p>
        </w:tc>
        <w:tc>
          <w:tcPr>
            <w:tcW w:w="346"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pPr>
            <w:r>
              <w:rPr/>
              <w:t> </w:t>
            </w:r>
          </w:p>
        </w:tc>
        <w:tc>
          <w:tcPr>
            <w:tcW w:w="931"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(5,316)</w:t>
            </w:r>
          </w:p>
        </w:tc>
        <w:tc>
          <w:tcPr>
            <w:tcW w:w="346"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pPr>
            <w:r>
              <w:rPr/>
              <w:t> </w:t>
            </w:r>
          </w:p>
        </w:tc>
        <w:tc>
          <w:tcPr>
            <w:tcW w:w="931"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(3,995)</w:t>
            </w:r>
          </w:p>
        </w:tc>
        <w:tc>
          <w:tcPr>
            <w:tcW w:w="346"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pPr>
            <w:r>
              <w:rPr/>
              <w:t> </w:t>
            </w:r>
          </w:p>
        </w:tc>
        <w:tc>
          <w:tcPr>
            <w:tcW w:w="931"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(9,139)</w:t>
            </w:r>
          </w:p>
        </w:tc>
        <w:tc>
          <w:tcPr>
            <w:tcW w:w="346"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pPr>
            <w:r>
              <w:rPr/>
              <w:t> </w:t>
            </w:r>
          </w:p>
        </w:tc>
        <w:tc>
          <w:tcPr>
            <w:tcW w:w="1046"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(7,666)</w:t>
            </w:r>
          </w:p>
        </w:tc>
      </w:tr>
      <w:tr>
        <w:trPr/>
        <w:tc>
          <w:tcPr>
            <w:tcW w:w="4138"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 xml:space="preserve">Loss per share of common stock, basic and diluted </w:t>
            </w:r>
          </w:p>
        </w:tc>
        <w:tc>
          <w:tcPr>
            <w:tcW w:w="346"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(0.90)</w:t>
            </w:r>
          </w:p>
        </w:tc>
        <w:tc>
          <w:tcPr>
            <w:tcW w:w="346"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(2.87)</w:t>
            </w:r>
          </w:p>
        </w:tc>
        <w:tc>
          <w:tcPr>
            <w:tcW w:w="346"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(1.69)</w:t>
            </w:r>
          </w:p>
        </w:tc>
        <w:tc>
          <w:tcPr>
            <w:tcW w:w="346"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46"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(6.59)</w:t>
            </w:r>
          </w:p>
        </w:tc>
      </w:tr>
      <w:tr>
        <w:trPr/>
        <w:tc>
          <w:tcPr>
            <w:tcW w:w="4138"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Weighted average shares of common stock, basic and diluted</w:t>
            </w:r>
          </w:p>
        </w:tc>
        <w:tc>
          <w:tcPr>
            <w:tcW w:w="346"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pPr>
            <w:r>
              <w:rPr/>
              <w:t> </w:t>
            </w:r>
          </w:p>
        </w:tc>
        <w:tc>
          <w:tcPr>
            <w:tcW w:w="931"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5,931,875</w:t>
            </w:r>
          </w:p>
        </w:tc>
        <w:tc>
          <w:tcPr>
            <w:tcW w:w="346"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931"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1,389,753</w:t>
            </w:r>
          </w:p>
        </w:tc>
        <w:tc>
          <w:tcPr>
            <w:tcW w:w="346"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pPr>
            <w:r>
              <w:rPr/>
              <w:t> </w:t>
            </w:r>
          </w:p>
        </w:tc>
        <w:tc>
          <w:tcPr>
            <w:tcW w:w="931"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5,398,683</w:t>
            </w:r>
          </w:p>
        </w:tc>
        <w:tc>
          <w:tcPr>
            <w:tcW w:w="346"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1046" w:type="dxa"/>
            <w:tcBorders>
              <w:bottom w:val="double" w:sz="6" w:space="0" w:color="000000"/>
            </w:tcBorders>
            <w:tcMar>
              <w:bottom w:w="28" w:type="dxa"/>
            </w:tcMar>
            <w:vAlign w:val="center"/>
          </w:tcPr>
          <w:p>
            <w:pPr>
              <w:pStyle w:val="TableContents"/>
              <w:bidi w:val="0"/>
              <w:spacing w:lineRule="auto" w:line="285" w:before="0" w:after="0"/>
              <w:ind w:left="0" w:right="70" w:hanging="0"/>
              <w:jc w:val="right"/>
              <w:rPr>
                <w:rFonts w:ascii="Times New Roman;Times;serif" w:hAnsi="Times New Roman;Times;serif"/>
                <w:sz w:val="20"/>
              </w:rPr>
            </w:pPr>
            <w:r>
              <w:rPr>
                <w:rFonts w:ascii="Times New Roman;Times;serif" w:hAnsi="Times New Roman;Times;serif"/>
                <w:sz w:val="20"/>
              </w:rPr>
              <w:t>1,162,692</w:t>
            </w:r>
          </w:p>
        </w:tc>
      </w:tr>
    </w:tbl>
    <w:p>
      <w:pPr>
        <w:pStyle w:val="TextBody"/>
        <w:bidi w:val="0"/>
        <w:spacing w:lineRule="auto" w:line="285" w:before="0" w:after="0"/>
        <w:ind w:left="0" w:right="0" w:hanging="0"/>
        <w:jc w:val="center"/>
        <w:rPr/>
      </w:pPr>
      <w:r>
        <w:rPr/>
        <w:t>​</w:t>
      </w:r>
    </w:p>
    <w:p>
      <w:pPr>
        <w:pStyle w:val="TextBody"/>
        <w:bidi w:val="0"/>
        <w:spacing w:lineRule="auto" w:line="285" w:before="0" w:after="0"/>
        <w:ind w:left="0" w:right="0" w:hanging="0"/>
        <w:jc w:val="center"/>
        <w:rPr/>
      </w:pPr>
      <w:r>
        <w:rPr/>
        <w:t>​</w:t>
      </w:r>
    </w:p>
    <w:p>
      <w:pPr>
        <w:pStyle w:val="TextBody"/>
        <w:bidi w:val="0"/>
        <w:spacing w:lineRule="auto" w:line="285" w:before="0" w:after="0"/>
        <w:ind w:left="0" w:right="0" w:hanging="0"/>
        <w:jc w:val="center"/>
        <w:rPr/>
      </w:pPr>
      <w:r>
        <w:rPr/>
        <w:t>​</w:t>
      </w:r>
    </w:p>
    <w:p>
      <w:pPr>
        <w:pStyle w:val="TextBody"/>
        <w:bidi w:val="0"/>
        <w:spacing w:lineRule="auto" w:line="285" w:before="0" w:after="0"/>
        <w:ind w:left="0" w:right="0" w:hanging="0"/>
        <w:jc w:val="center"/>
        <w:rPr/>
      </w:pPr>
      <w:r>
        <w:rPr/>
        <w:t>​</w:t>
      </w:r>
    </w:p>
    <w:p>
      <w:pPr>
        <w:pStyle w:val="TextBody"/>
        <w:bidi w:val="0"/>
        <w:spacing w:lineRule="auto" w:line="285" w:before="0" w:after="0"/>
        <w:ind w:left="0" w:right="0" w:hanging="0"/>
        <w:jc w:val="center"/>
        <w:rPr/>
      </w:pPr>
      <w:r>
        <w:rPr/>
        <w:t>​</w:t>
      </w:r>
    </w:p>
    <w:p>
      <w:pPr>
        <w:pStyle w:val="TextBody"/>
        <w:bidi w:val="0"/>
        <w:spacing w:lineRule="auto" w:line="285" w:before="0" w:after="0"/>
        <w:ind w:left="0" w:right="0" w:hanging="0"/>
        <w:jc w:val="center"/>
        <w:rPr/>
      </w:pPr>
      <w:r>
        <w:rPr/>
        <w:t>​</w:t>
      </w:r>
    </w:p>
    <w:p>
      <w:pPr>
        <w:pStyle w:val="TextBody"/>
        <w:shd w:fill="FFFFFF" w:val="clear"/>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The accompanying notes are an integral part of these unaudited condensed consolidated financial statements.</w:t>
      </w:r>
    </w:p>
    <w:p>
      <w:pPr>
        <w:pStyle w:val="TextBody"/>
        <w:bidi w:val="0"/>
        <w:spacing w:lineRule="auto" w:line="285" w:before="0" w:after="0"/>
        <w:ind w:left="0" w:right="0" w:hanging="0"/>
        <w:jc w:val="center"/>
        <w:rPr/>
      </w:pPr>
      <w:r>
        <w:rPr/>
        <w:t>​</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pPr>
      <w:r>
        <w:rPr/>
        <w:t>​</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4</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0"/>
        <w:ind w:left="0" w:right="0" w:hanging="0"/>
        <w:jc w:val="center"/>
        <w:rPr>
          <w:rFonts w:ascii="Times New Roman;Times;serif" w:hAnsi="Times New Roman;Times;serif"/>
          <w:b/>
          <w:sz w:val="20"/>
        </w:rPr>
      </w:pPr>
      <w:bookmarkStart w:id="185" w:name="_389cb694_75af_4276_bc4a_73dac97deecf"/>
      <w:bookmarkEnd w:id="185"/>
      <w:r>
        <w:rPr>
          <w:rFonts w:ascii="Times New Roman;Times;serif" w:hAnsi="Times New Roman;Times;serif"/>
          <w:b/>
          <w:sz w:val="20"/>
        </w:rPr>
        <w:t>MetaVia Inc.</w:t>
      </w:r>
    </w:p>
    <w:p>
      <w:pPr>
        <w:pStyle w:val="TextBody"/>
        <w:bidi w:val="0"/>
        <w:spacing w:lineRule="auto" w:line="285" w:before="0" w:after="0"/>
        <w:ind w:left="0" w:right="0" w:hanging="0"/>
        <w:jc w:val="center"/>
        <w:rPr>
          <w:rFonts w:ascii="Times New Roman;Times;serif" w:hAnsi="Times New Roman;Times;serif"/>
          <w:b/>
          <w:sz w:val="20"/>
        </w:rPr>
      </w:pPr>
      <w:bookmarkStart w:id="186" w:name="EquityDeficit_89715"/>
      <w:bookmarkStart w:id="187" w:name="Stockholders_238774"/>
      <w:bookmarkEnd w:id="186"/>
      <w:bookmarkEnd w:id="187"/>
      <w:r>
        <w:rPr>
          <w:rFonts w:ascii="Times New Roman;Times;serif" w:hAnsi="Times New Roman;Times;serif"/>
          <w:b/>
          <w:sz w:val="20"/>
        </w:rPr>
        <w:t>Condensed Consolidated Statements of Changes in Stockholders’ Equity</w:t>
      </w:r>
    </w:p>
    <w:p>
      <w:pPr>
        <w:pStyle w:val="TextBody"/>
        <w:bidi w:val="0"/>
        <w:spacing w:lineRule="auto" w:line="285" w:before="0" w:after="0"/>
        <w:ind w:left="0" w:right="0" w:hanging="0"/>
        <w:jc w:val="center"/>
        <w:rPr>
          <w:rFonts w:ascii="Times New Roman;Times;serif" w:hAnsi="Times New Roman;Times;serif"/>
          <w:sz w:val="16"/>
        </w:rPr>
      </w:pPr>
      <w:r>
        <w:rPr>
          <w:rFonts w:ascii="Times New Roman;Times;serif" w:hAnsi="Times New Roman;Times;serif"/>
          <w:sz w:val="16"/>
        </w:rPr>
        <w:t>(Unaudited - In thousands, except share amounts)</w:t>
      </w:r>
    </w:p>
    <w:p>
      <w:pPr>
        <w:pStyle w:val="TextBody"/>
        <w:bidi w:val="0"/>
        <w:spacing w:lineRule="auto" w:line="285" w:before="0" w:after="0"/>
        <w:ind w:left="0" w:right="0" w:hanging="0"/>
        <w:jc w:val="center"/>
        <w:rPr/>
      </w:pPr>
      <w:r>
        <w:rPr/>
        <w:t>​</w:t>
      </w:r>
    </w:p>
    <w:p>
      <w:pPr>
        <w:pStyle w:val="Normal"/>
        <w:bidi w:val="0"/>
        <w:spacing w:before="0" w:after="0"/>
        <w:jc w:val="left"/>
        <w:rPr>
          <w:sz w:val="4"/>
          <w:szCs w:val="4"/>
        </w:rPr>
      </w:pPr>
      <w:r>
        <w:rPr>
          <w:sz w:val="4"/>
          <w:szCs w:val="4"/>
        </w:rPr>
      </w:r>
      <w:bookmarkStart w:id="188" w:name="Tc_oH9dTi60W0ya01mvfJL_CA_31_13"/>
      <w:bookmarkStart w:id="189" w:name="Tc_facTs9giqE2E3tpEWCdGhw_31_10"/>
      <w:bookmarkStart w:id="190" w:name="Tc_LqKl3Nr9PUSG5Sqei1iezA_31_7"/>
      <w:bookmarkStart w:id="191" w:name="Tc_goc3QMvydkm9cak6hdXwug_31_4"/>
      <w:bookmarkStart w:id="192" w:name="Tc_h2R5I9TZLEqMN2tAdEWOYg_31_0"/>
      <w:bookmarkStart w:id="193" w:name="Tc_7UEYi4yIVE2ftDb5PL2u0w_30_8"/>
      <w:bookmarkStart w:id="194" w:name="Tc_yFdksZcPfk-4VAW7FbBbcw_30_5"/>
      <w:bookmarkStart w:id="195" w:name="Tc_SA4I6v-ZVE62VjpeBu6BgA_30_2"/>
      <w:bookmarkStart w:id="196" w:name="Tc_qDWux5JJ30ehd3Fpb8VoCg_30_0"/>
      <w:bookmarkStart w:id="197" w:name="Tc_MZf8fmcZQEupKkYa_hoXag_29_11"/>
      <w:bookmarkStart w:id="198" w:name="Tc_cQ5S6gTGBkWQBff_hZRuJg_29_5"/>
      <w:bookmarkStart w:id="199" w:name="Tc_HtbZbLo1BUuP6GQbvI3ecw_29_2"/>
      <w:bookmarkStart w:id="200" w:name="Tc_ERMFqoAIrEqjwGvRoxw7Pw_29_0"/>
      <w:bookmarkStart w:id="201" w:name="Tc_ivoUoiBN3EmItpeuk1Nb6Q_28_14"/>
      <w:bookmarkStart w:id="202" w:name="Tc_dsuxNNrvrUugp-zkYJNThQ_28_11"/>
      <w:bookmarkStart w:id="203" w:name="Tc_ID2IzgZn1EqG6FC345bngA_28_8"/>
      <w:bookmarkStart w:id="204" w:name="Tc_YLSeUeGE-UKm9meEVg9Jaw_28_5"/>
      <w:bookmarkStart w:id="205" w:name="Tc_TP6PJylJF0ajtSvWvjU1xg_28_0"/>
      <w:bookmarkStart w:id="206" w:name="Tc_3GA_ba8nf0-tJD9RSmGa7Q_27_11"/>
      <w:bookmarkStart w:id="207" w:name="Tc_XpiPRaE-mEK0ac6FXPXB6Q_27_5"/>
      <w:bookmarkStart w:id="208" w:name="Tc_gvR3aksA70ikzGebbf4LXg_27_0"/>
      <w:bookmarkStart w:id="209" w:name="Tc_0Wu2iYH-CEaJyg6aM96Y8Q_26_11"/>
      <w:bookmarkStart w:id="210" w:name="Tc_8RP8g6O56kqurz-erCVzoA_26_0"/>
      <w:bookmarkStart w:id="211" w:name="Tc_RKBLuK1yvkabgZfUQUdpMg_25_11"/>
      <w:bookmarkStart w:id="212" w:name="Tc_dpq4blF1vUmSmqna4Jtr8Q_25_5"/>
      <w:bookmarkStart w:id="213" w:name="Tc_hn0D9pvSy0eMAEHqRsKxSA_25_0"/>
      <w:bookmarkStart w:id="214" w:name="Tc_nSrJVgL4iUy3fezDM5pZaQ_24_11"/>
      <w:bookmarkStart w:id="215" w:name="Tc_VlaJ7HgWmku7C1PWFHvx-g_24_5"/>
      <w:bookmarkStart w:id="216" w:name="Tc_mboxZ2jGYUeQy6fqwlUvXQ_24_2"/>
      <w:bookmarkStart w:id="217" w:name="Tc_NZKcP9FUnkmziCosKDWuIQ_24_0"/>
      <w:bookmarkStart w:id="218" w:name="Tc_Rex-VyRAmU6suc7shYiWFw_23_0"/>
      <w:bookmarkStart w:id="219" w:name="Tc_A-5aWSQInE2fFnevzHh35w_22_8"/>
      <w:bookmarkStart w:id="220" w:name="Tc_-E22_TykpkWlOHPg8doUgw_22_5"/>
      <w:bookmarkStart w:id="221" w:name="Tc_Ybpu5wMgxEC8nCdQteuU8Q_22_2"/>
      <w:bookmarkStart w:id="222" w:name="Tc_ej4hgx4ImkCEPPrrk44Kug_22_0"/>
      <w:bookmarkStart w:id="223" w:name="Tc_4uAoeYPViE6yaZ-zlBRBfQ_21_11"/>
      <w:bookmarkStart w:id="224" w:name="Tc_HMD9XSdpJkyDGaY1c_qNfQ_21_5"/>
      <w:bookmarkStart w:id="225" w:name="Tc_ToRqlPBb3UGdQVudRoZ4HA_21_2"/>
      <w:bookmarkStart w:id="226" w:name="Tc_nygXkrj6PESSEjvqxpOm_w_21_0"/>
      <w:bookmarkStart w:id="227" w:name="Tc_wzZGIXI3l06sjbKqjNsXWw_20_14"/>
      <w:bookmarkStart w:id="228" w:name="Tc_awW5lqPnzEuXR_C5Uts3XA_20_11"/>
      <w:bookmarkStart w:id="229" w:name="Tc_1wxGzHq3Ak6sp4T2JUqvtQ_20_8"/>
      <w:bookmarkStart w:id="230" w:name="Tc_MPBHLc25HEu4OJdK9BC8cw_20_5"/>
      <w:bookmarkStart w:id="231" w:name="Tc_SVzLvAhxDUGjbNc2yzfn2Q_20_0"/>
      <w:bookmarkStart w:id="232" w:name="Tc_Io23RxXnwE6McOiscfgosg_19_11"/>
      <w:bookmarkStart w:id="233" w:name="Tc_xLJORehuM0WsryVY7zGaBw_19_8"/>
      <w:bookmarkStart w:id="234" w:name="Tc_H2OIAEd_uE-IYwTQnmyajQ_19_0"/>
      <w:bookmarkStart w:id="235" w:name="Tc_J_Q5t4GuLkSf1jwXyu_rtQ_18_11"/>
      <w:bookmarkStart w:id="236" w:name="Tc_80wtZiLOYk-JWsb0Ovy99g_18_5"/>
      <w:bookmarkStart w:id="237" w:name="Tc_nVq155k5oUOkgSzp1DOyiA_18_0"/>
      <w:bookmarkStart w:id="238" w:name="Tc_IyrqmCTUkEi5zi_npgc4cg_17_11"/>
      <w:bookmarkStart w:id="239" w:name="Tc_aNHm6Zsly023ptwYQbE18A_17_0"/>
      <w:bookmarkStart w:id="240" w:name="Tc_fmZr7PHZoE2siWknMPSk7g_16_13"/>
      <w:bookmarkStart w:id="241" w:name="Tc_yO6tDQiOGkis1T3irSZhPw_16_10"/>
      <w:bookmarkStart w:id="242" w:name="Tc_LtfqV4uCe0e7k-Sdrxgxbw_16_7"/>
      <w:bookmarkStart w:id="243" w:name="Tc_s_TB3UxAJ0KyxStER65X8Q_16_4"/>
      <w:bookmarkStart w:id="244" w:name="Tc_edYHfWPgdE2gyD2HyfpxGA_16_0"/>
      <w:bookmarkStart w:id="245" w:name="Tc_N3ar4Mpj0kCFvwvjSIpayA_14_13"/>
      <w:bookmarkStart w:id="246" w:name="Tc_HbXAGjyYr0-8FgzHCxxiCA_14_10"/>
      <w:bookmarkStart w:id="247" w:name="Tc_i2Ga8wNJK0aUWl7PL4XJkg_14_7"/>
      <w:bookmarkStart w:id="248" w:name="Tc_TC7CBFVP5k65ryeuR4DzAA_14_4"/>
      <w:bookmarkStart w:id="249" w:name="Tc__rKhBfF0-0GYHZN4L19LRw_14_0"/>
      <w:bookmarkStart w:id="250" w:name="Tc_IVmoNRMUoESpIGfEu-_b7Q_13_8"/>
      <w:bookmarkStart w:id="251" w:name="Tc_7HA7nJU-pEGQLhNYBYV6SA_13_5"/>
      <w:bookmarkStart w:id="252" w:name="Tc_mumjEY3AY0CWJoHXdc_yFg_13_2"/>
      <w:bookmarkStart w:id="253" w:name="Tc_NIQMI_EarEGCD9pt3AxiuA_13_0"/>
      <w:bookmarkStart w:id="254" w:name="Tc_pDj0cOG46EeVjRR1K5lKRw_12_11"/>
      <w:bookmarkStart w:id="255" w:name="Tc_KWpvarQ7Z0O-ftUYgLeXLw_12_5"/>
      <w:bookmarkStart w:id="256" w:name="Tc_zsHK2EndXkiektGE2gCtpQ_12_2"/>
      <w:bookmarkStart w:id="257" w:name="Tc_Js6fw-dejEuOBj-MDKtemA_12_0"/>
      <w:bookmarkStart w:id="258" w:name="Tc_8QDSzjXMl0W0KTlXkJ5tew_11_14"/>
      <w:bookmarkStart w:id="259" w:name="Tc_Abca02zR9ke8NCP374OZTw_11_11"/>
      <w:bookmarkStart w:id="260" w:name="Tc_p4nnnNjbwE6b6qhyq8YFqQ_11_8"/>
      <w:bookmarkStart w:id="261" w:name="Tc_eH7CGhQtf0ODoLBT_iGBog_11_5"/>
      <w:bookmarkStart w:id="262" w:name="Tc_skZdQ989sku1S_5NpP-7gg_11_0"/>
      <w:bookmarkStart w:id="263" w:name="Tc_dLEKVspVgEuEDZmSmrgHpg_10_11"/>
      <w:bookmarkStart w:id="264" w:name="Tc_QK3TrPN_uE2U6fhFQXTh2Q_10_5"/>
      <w:bookmarkStart w:id="265" w:name="Tc_zx7Plr6CdE2p5y9trJXaHA_10_0"/>
      <w:bookmarkStart w:id="266" w:name="Tc_O8F1rreSckm46VQyFqzANQ_9_11"/>
      <w:bookmarkStart w:id="267" w:name="Tc_Mi3jz_PVGE2Osraj5pFhNw_9_0"/>
      <w:bookmarkStart w:id="268" w:name="Tc_XH6zQgI4eke961-_xlxazw_8_0"/>
      <w:bookmarkStart w:id="269" w:name="Tc_PxBjhnXYykiku0VWL0VWbA_7_8"/>
      <w:bookmarkStart w:id="270" w:name="Tc_CVP0EFMQlEKmX_-H1tnMjA_7_5"/>
      <w:bookmarkStart w:id="271" w:name="Tc_kNkmItN30kah0elU9DmiEA_7_2"/>
      <w:bookmarkStart w:id="272" w:name="Tc_ek_9rq5hOE6OoMxYoAJAeg_7_0"/>
      <w:bookmarkStart w:id="273" w:name="Tc_9Wk19qgoAU6X1saIMECjDQ_6_11"/>
      <w:bookmarkStart w:id="274" w:name="Tc_ZIZt75izs0uyoeT7s19njQ_6_5"/>
      <w:bookmarkStart w:id="275" w:name="Tc_drnaDlL8_EKHHYeB7W0fDA_6_2"/>
      <w:bookmarkStart w:id="276" w:name="Tc_SSwiZe9xSUKvvNapMM03Nw_6_0"/>
      <w:bookmarkStart w:id="277" w:name="Tc_VZyhUc9_ykKu9gkN8zZmcw_5_11"/>
      <w:bookmarkStart w:id="278" w:name="Tc_cg6Ey2uou0q8HpJscjqe_g_5_5"/>
      <w:bookmarkStart w:id="279" w:name="Tc_c7_vq4_N8k2PA-IEKiaQCQ_5_0"/>
      <w:bookmarkStart w:id="280" w:name="Tc_3hABvNFkp0m71CTL2y65og_4_13"/>
      <w:bookmarkStart w:id="281" w:name="Tc_oLHPhxnLQU6xBglDC-XoCQ_4_10"/>
      <w:bookmarkStart w:id="282" w:name="Tc_rTofmU6QrUyd3tEs9h78Aw_4_7"/>
      <w:bookmarkStart w:id="283" w:name="Tc_8KfeNq10DUer44Z_3Uym4A_4_4"/>
      <w:bookmarkStart w:id="284" w:name="Tc_9Zn5_IjAwUSxeifQzV3jEg_4_0"/>
      <w:bookmarkStart w:id="285" w:name="Tc_Rx94BYhI9EGwumK2R0pMLA_3_13"/>
      <w:bookmarkStart w:id="286" w:name="Tc_9gJ9JPGjp06dAC6agi7yJw_3_10"/>
      <w:bookmarkStart w:id="287" w:name="Tc_PIU-oe-3VUWSHIMDR7ex1A_3_7"/>
      <w:bookmarkStart w:id="288" w:name="Tc_E5cTSDGvckihm902gWXw6g_3_4"/>
      <w:bookmarkStart w:id="289" w:name="Tc_KIXHXaBLXkKgcHnxQ8Qw0Q_3_2"/>
      <w:bookmarkStart w:id="290" w:name="Tc_K-RVFjwcZ06uBtmaIymoCQ_2_13"/>
      <w:bookmarkStart w:id="291" w:name="Tc_eNgSshNStUa6y31v938QnA_2_10"/>
      <w:bookmarkStart w:id="292" w:name="Tc_nfS-wRVxzUSCrEVlDB0ACw_2_7"/>
      <w:bookmarkStart w:id="293" w:name="Tc_G6pwJndv_keUVrL0sh9jSA_2_2"/>
      <w:bookmarkStart w:id="294" w:name="Tc_BtPmUePb3UGx4GrY9lQK9g_1_7"/>
      <w:bookmarkStart w:id="295" w:name="_7b008fc1_58d4_450a_8a58_bbe6b9ad2eae"/>
      <w:bookmarkStart w:id="296" w:name="Tc_oH9dTi60W0ya01mvfJL_CA_31_13"/>
      <w:bookmarkStart w:id="297" w:name="Tc_facTs9giqE2E3tpEWCdGhw_31_10"/>
      <w:bookmarkStart w:id="298" w:name="Tc_LqKl3Nr9PUSG5Sqei1iezA_31_7"/>
      <w:bookmarkStart w:id="299" w:name="Tc_goc3QMvydkm9cak6hdXwug_31_4"/>
      <w:bookmarkStart w:id="300" w:name="Tc_h2R5I9TZLEqMN2tAdEWOYg_31_0"/>
      <w:bookmarkStart w:id="301" w:name="Tc_7UEYi4yIVE2ftDb5PL2u0w_30_8"/>
      <w:bookmarkStart w:id="302" w:name="Tc_yFdksZcPfk-4VAW7FbBbcw_30_5"/>
      <w:bookmarkStart w:id="303" w:name="Tc_SA4I6v-ZVE62VjpeBu6BgA_30_2"/>
      <w:bookmarkStart w:id="304" w:name="Tc_qDWux5JJ30ehd3Fpb8VoCg_30_0"/>
      <w:bookmarkStart w:id="305" w:name="Tc_MZf8fmcZQEupKkYa_hoXag_29_11"/>
      <w:bookmarkStart w:id="306" w:name="Tc_cQ5S6gTGBkWQBff_hZRuJg_29_5"/>
      <w:bookmarkStart w:id="307" w:name="Tc_HtbZbLo1BUuP6GQbvI3ecw_29_2"/>
      <w:bookmarkStart w:id="308" w:name="Tc_ERMFqoAIrEqjwGvRoxw7Pw_29_0"/>
      <w:bookmarkStart w:id="309" w:name="Tc_ivoUoiBN3EmItpeuk1Nb6Q_28_14"/>
      <w:bookmarkStart w:id="310" w:name="Tc_dsuxNNrvrUugp-zkYJNThQ_28_11"/>
      <w:bookmarkStart w:id="311" w:name="Tc_ID2IzgZn1EqG6FC345bngA_28_8"/>
      <w:bookmarkStart w:id="312" w:name="Tc_YLSeUeGE-UKm9meEVg9Jaw_28_5"/>
      <w:bookmarkStart w:id="313" w:name="Tc_TP6PJylJF0ajtSvWvjU1xg_28_0"/>
      <w:bookmarkStart w:id="314" w:name="Tc_3GA_ba8nf0-tJD9RSmGa7Q_27_11"/>
      <w:bookmarkStart w:id="315" w:name="Tc_XpiPRaE-mEK0ac6FXPXB6Q_27_5"/>
      <w:bookmarkStart w:id="316" w:name="Tc_gvR3aksA70ikzGebbf4LXg_27_0"/>
      <w:bookmarkStart w:id="317" w:name="Tc_0Wu2iYH-CEaJyg6aM96Y8Q_26_11"/>
      <w:bookmarkStart w:id="318" w:name="Tc_8RP8g6O56kqurz-erCVzoA_26_0"/>
      <w:bookmarkStart w:id="319" w:name="Tc_RKBLuK1yvkabgZfUQUdpMg_25_11"/>
      <w:bookmarkStart w:id="320" w:name="Tc_dpq4blF1vUmSmqna4Jtr8Q_25_5"/>
      <w:bookmarkStart w:id="321" w:name="Tc_hn0D9pvSy0eMAEHqRsKxSA_25_0"/>
      <w:bookmarkStart w:id="322" w:name="Tc_nSrJVgL4iUy3fezDM5pZaQ_24_11"/>
      <w:bookmarkStart w:id="323" w:name="Tc_VlaJ7HgWmku7C1PWFHvx-g_24_5"/>
      <w:bookmarkStart w:id="324" w:name="Tc_mboxZ2jGYUeQy6fqwlUvXQ_24_2"/>
      <w:bookmarkStart w:id="325" w:name="Tc_NZKcP9FUnkmziCosKDWuIQ_24_0"/>
      <w:bookmarkStart w:id="326" w:name="Tc_Rex-VyRAmU6suc7shYiWFw_23_0"/>
      <w:bookmarkStart w:id="327" w:name="Tc_A-5aWSQInE2fFnevzHh35w_22_8"/>
      <w:bookmarkStart w:id="328" w:name="Tc_-E22_TykpkWlOHPg8doUgw_22_5"/>
      <w:bookmarkStart w:id="329" w:name="Tc_Ybpu5wMgxEC8nCdQteuU8Q_22_2"/>
      <w:bookmarkStart w:id="330" w:name="Tc_ej4hgx4ImkCEPPrrk44Kug_22_0"/>
      <w:bookmarkStart w:id="331" w:name="Tc_4uAoeYPViE6yaZ-zlBRBfQ_21_11"/>
      <w:bookmarkStart w:id="332" w:name="Tc_HMD9XSdpJkyDGaY1c_qNfQ_21_5"/>
      <w:bookmarkStart w:id="333" w:name="Tc_ToRqlPBb3UGdQVudRoZ4HA_21_2"/>
      <w:bookmarkStart w:id="334" w:name="Tc_nygXkrj6PESSEjvqxpOm_w_21_0"/>
      <w:bookmarkStart w:id="335" w:name="Tc_wzZGIXI3l06sjbKqjNsXWw_20_14"/>
      <w:bookmarkStart w:id="336" w:name="Tc_awW5lqPnzEuXR_C5Uts3XA_20_11"/>
      <w:bookmarkStart w:id="337" w:name="Tc_1wxGzHq3Ak6sp4T2JUqvtQ_20_8"/>
      <w:bookmarkStart w:id="338" w:name="Tc_MPBHLc25HEu4OJdK9BC8cw_20_5"/>
      <w:bookmarkStart w:id="339" w:name="Tc_SVzLvAhxDUGjbNc2yzfn2Q_20_0"/>
      <w:bookmarkStart w:id="340" w:name="Tc_Io23RxXnwE6McOiscfgosg_19_11"/>
      <w:bookmarkStart w:id="341" w:name="Tc_xLJORehuM0WsryVY7zGaBw_19_8"/>
      <w:bookmarkStart w:id="342" w:name="Tc_H2OIAEd_uE-IYwTQnmyajQ_19_0"/>
      <w:bookmarkStart w:id="343" w:name="Tc_J_Q5t4GuLkSf1jwXyu_rtQ_18_11"/>
      <w:bookmarkStart w:id="344" w:name="Tc_80wtZiLOYk-JWsb0Ovy99g_18_5"/>
      <w:bookmarkStart w:id="345" w:name="Tc_nVq155k5oUOkgSzp1DOyiA_18_0"/>
      <w:bookmarkStart w:id="346" w:name="Tc_IyrqmCTUkEi5zi_npgc4cg_17_11"/>
      <w:bookmarkStart w:id="347" w:name="Tc_aNHm6Zsly023ptwYQbE18A_17_0"/>
      <w:bookmarkStart w:id="348" w:name="Tc_fmZr7PHZoE2siWknMPSk7g_16_13"/>
      <w:bookmarkStart w:id="349" w:name="Tc_yO6tDQiOGkis1T3irSZhPw_16_10"/>
      <w:bookmarkStart w:id="350" w:name="Tc_LtfqV4uCe0e7k-Sdrxgxbw_16_7"/>
      <w:bookmarkStart w:id="351" w:name="Tc_s_TB3UxAJ0KyxStER65X8Q_16_4"/>
      <w:bookmarkStart w:id="352" w:name="Tc_edYHfWPgdE2gyD2HyfpxGA_16_0"/>
      <w:bookmarkStart w:id="353" w:name="Tc_N3ar4Mpj0kCFvwvjSIpayA_14_13"/>
      <w:bookmarkStart w:id="354" w:name="Tc_HbXAGjyYr0-8FgzHCxxiCA_14_10"/>
      <w:bookmarkStart w:id="355" w:name="Tc_i2Ga8wNJK0aUWl7PL4XJkg_14_7"/>
      <w:bookmarkStart w:id="356" w:name="Tc_TC7CBFVP5k65ryeuR4DzAA_14_4"/>
      <w:bookmarkStart w:id="357" w:name="Tc__rKhBfF0-0GYHZN4L19LRw_14_0"/>
      <w:bookmarkStart w:id="358" w:name="Tc_IVmoNRMUoESpIGfEu-_b7Q_13_8"/>
      <w:bookmarkStart w:id="359" w:name="Tc_7HA7nJU-pEGQLhNYBYV6SA_13_5"/>
      <w:bookmarkStart w:id="360" w:name="Tc_mumjEY3AY0CWJoHXdc_yFg_13_2"/>
      <w:bookmarkStart w:id="361" w:name="Tc_NIQMI_EarEGCD9pt3AxiuA_13_0"/>
      <w:bookmarkStart w:id="362" w:name="Tc_pDj0cOG46EeVjRR1K5lKRw_12_11"/>
      <w:bookmarkStart w:id="363" w:name="Tc_KWpvarQ7Z0O-ftUYgLeXLw_12_5"/>
      <w:bookmarkStart w:id="364" w:name="Tc_zsHK2EndXkiektGE2gCtpQ_12_2"/>
      <w:bookmarkStart w:id="365" w:name="Tc_Js6fw-dejEuOBj-MDKtemA_12_0"/>
      <w:bookmarkStart w:id="366" w:name="Tc_8QDSzjXMl0W0KTlXkJ5tew_11_14"/>
      <w:bookmarkStart w:id="367" w:name="Tc_Abca02zR9ke8NCP374OZTw_11_11"/>
      <w:bookmarkStart w:id="368" w:name="Tc_p4nnnNjbwE6b6qhyq8YFqQ_11_8"/>
      <w:bookmarkStart w:id="369" w:name="Tc_eH7CGhQtf0ODoLBT_iGBog_11_5"/>
      <w:bookmarkStart w:id="370" w:name="Tc_skZdQ989sku1S_5NpP-7gg_11_0"/>
      <w:bookmarkStart w:id="371" w:name="Tc_dLEKVspVgEuEDZmSmrgHpg_10_11"/>
      <w:bookmarkStart w:id="372" w:name="Tc_QK3TrPN_uE2U6fhFQXTh2Q_10_5"/>
      <w:bookmarkStart w:id="373" w:name="Tc_zx7Plr6CdE2p5y9trJXaHA_10_0"/>
      <w:bookmarkStart w:id="374" w:name="Tc_O8F1rreSckm46VQyFqzANQ_9_11"/>
      <w:bookmarkStart w:id="375" w:name="Tc_Mi3jz_PVGE2Osraj5pFhNw_9_0"/>
      <w:bookmarkStart w:id="376" w:name="Tc_XH6zQgI4eke961-_xlxazw_8_0"/>
      <w:bookmarkStart w:id="377" w:name="Tc_PxBjhnXYykiku0VWL0VWbA_7_8"/>
      <w:bookmarkStart w:id="378" w:name="Tc_CVP0EFMQlEKmX_-H1tnMjA_7_5"/>
      <w:bookmarkStart w:id="379" w:name="Tc_kNkmItN30kah0elU9DmiEA_7_2"/>
      <w:bookmarkStart w:id="380" w:name="Tc_ek_9rq5hOE6OoMxYoAJAeg_7_0"/>
      <w:bookmarkStart w:id="381" w:name="Tc_9Wk19qgoAU6X1saIMECjDQ_6_11"/>
      <w:bookmarkStart w:id="382" w:name="Tc_ZIZt75izs0uyoeT7s19njQ_6_5"/>
      <w:bookmarkStart w:id="383" w:name="Tc_drnaDlL8_EKHHYeB7W0fDA_6_2"/>
      <w:bookmarkStart w:id="384" w:name="Tc_SSwiZe9xSUKvvNapMM03Nw_6_0"/>
      <w:bookmarkStart w:id="385" w:name="Tc_VZyhUc9_ykKu9gkN8zZmcw_5_11"/>
      <w:bookmarkStart w:id="386" w:name="Tc_cg6Ey2uou0q8HpJscjqe_g_5_5"/>
      <w:bookmarkStart w:id="387" w:name="Tc_c7_vq4_N8k2PA-IEKiaQCQ_5_0"/>
      <w:bookmarkStart w:id="388" w:name="Tc_3hABvNFkp0m71CTL2y65og_4_13"/>
      <w:bookmarkStart w:id="389" w:name="Tc_oLHPhxnLQU6xBglDC-XoCQ_4_10"/>
      <w:bookmarkStart w:id="390" w:name="Tc_rTofmU6QrUyd3tEs9h78Aw_4_7"/>
      <w:bookmarkStart w:id="391" w:name="Tc_8KfeNq10DUer44Z_3Uym4A_4_4"/>
      <w:bookmarkStart w:id="392" w:name="Tc_9Zn5_IjAwUSxeifQzV3jEg_4_0"/>
      <w:bookmarkStart w:id="393" w:name="Tc_Rx94BYhI9EGwumK2R0pMLA_3_13"/>
      <w:bookmarkStart w:id="394" w:name="Tc_9gJ9JPGjp06dAC6agi7yJw_3_10"/>
      <w:bookmarkStart w:id="395" w:name="Tc_PIU-oe-3VUWSHIMDR7ex1A_3_7"/>
      <w:bookmarkStart w:id="396" w:name="Tc_E5cTSDGvckihm902gWXw6g_3_4"/>
      <w:bookmarkStart w:id="397" w:name="Tc_KIXHXaBLXkKgcHnxQ8Qw0Q_3_2"/>
      <w:bookmarkStart w:id="398" w:name="Tc_K-RVFjwcZ06uBtmaIymoCQ_2_13"/>
      <w:bookmarkStart w:id="399" w:name="Tc_eNgSshNStUa6y31v938QnA_2_10"/>
      <w:bookmarkStart w:id="400" w:name="Tc_nfS-wRVxzUSCrEVlDB0ACw_2_7"/>
      <w:bookmarkStart w:id="401" w:name="Tc_G6pwJndv_keUVrL0sh9jSA_2_2"/>
      <w:bookmarkStart w:id="402" w:name="Tc_BtPmUePb3UGx4GrY9lQK9g_1_7"/>
      <w:bookmarkStart w:id="403" w:name="_7b008fc1_58d4_450a_8a58_bbe6b9ad2eae"/>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p>
    <w:tbl>
      <w:tblPr>
        <w:tblW w:w="10205" w:type="dxa"/>
        <w:jc w:val="left"/>
        <w:tblInd w:w="0" w:type="dxa"/>
        <w:tblLayout w:type="fixed"/>
        <w:tblCellMar>
          <w:top w:w="0" w:type="dxa"/>
          <w:left w:w="0" w:type="dxa"/>
          <w:bottom w:w="0" w:type="dxa"/>
          <w:right w:w="0" w:type="dxa"/>
        </w:tblCellMar>
      </w:tblPr>
      <w:tblGrid>
        <w:gridCol w:w="3689"/>
        <w:gridCol w:w="346"/>
        <w:gridCol w:w="931"/>
        <w:gridCol w:w="346"/>
        <w:gridCol w:w="290"/>
        <w:gridCol w:w="476"/>
        <w:gridCol w:w="346"/>
        <w:gridCol w:w="211"/>
        <w:gridCol w:w="781"/>
        <w:gridCol w:w="346"/>
        <w:gridCol w:w="237"/>
        <w:gridCol w:w="949"/>
        <w:gridCol w:w="346"/>
        <w:gridCol w:w="211"/>
        <w:gridCol w:w="700"/>
      </w:tblGrid>
      <w:tr>
        <w:trPr/>
        <w:tc>
          <w:tcPr>
            <w:tcW w:w="368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2342515" cy="175260"/>
                      <wp:effectExtent l="0" t="0" r="0" b="0"/>
                      <wp:wrapNone/>
                      <wp:docPr id="38" name="Frame37"/>
                      <a:graphic xmlns:a="http://schemas.openxmlformats.org/drawingml/2006/main">
                        <a:graphicData uri="http://schemas.microsoft.com/office/word/2010/wordprocessingShape">
                          <wps:wsp>
                            <wps:cNvSpPr txBox="1"/>
                            <wps:spPr>
                              <a:xfrm>
                                <a:off x="0" y="0"/>
                                <a:ext cx="234251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4.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219710" cy="175260"/>
                      <wp:effectExtent l="0" t="0" r="0" b="0"/>
                      <wp:wrapNone/>
                      <wp:docPr id="39" name="Frame3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591185" cy="175260"/>
                      <wp:effectExtent l="0" t="0" r="0" b="0"/>
                      <wp:wrapNone/>
                      <wp:docPr id="40" name="Frame39"/>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219710" cy="175260"/>
                      <wp:effectExtent l="0" t="0" r="0" b="0"/>
                      <wp:wrapNone/>
                      <wp:docPr id="41" name="Frame4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9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184150" cy="175260"/>
                      <wp:effectExtent l="0" t="0" r="0" b="0"/>
                      <wp:wrapNone/>
                      <wp:docPr id="42" name="Frame41"/>
                      <a:graphic xmlns:a="http://schemas.openxmlformats.org/drawingml/2006/main">
                        <a:graphicData uri="http://schemas.microsoft.com/office/word/2010/wordprocessingShape">
                          <wps:wsp>
                            <wps:cNvSpPr txBox="1"/>
                            <wps:spPr>
                              <a:xfrm>
                                <a:off x="0" y="0"/>
                                <a:ext cx="18415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4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302260" cy="175260"/>
                      <wp:effectExtent l="0" t="0" r="0" b="0"/>
                      <wp:wrapNone/>
                      <wp:docPr id="43" name="Frame42"/>
                      <a:graphic xmlns:a="http://schemas.openxmlformats.org/drawingml/2006/main">
                        <a:graphicData uri="http://schemas.microsoft.com/office/word/2010/wordprocessingShape">
                          <wps:wsp>
                            <wps:cNvSpPr txBox="1"/>
                            <wps:spPr>
                              <a:xfrm>
                                <a:off x="0" y="0"/>
                                <a:ext cx="30226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219710" cy="175260"/>
                      <wp:effectExtent l="0" t="0" r="0" b="0"/>
                      <wp:wrapNone/>
                      <wp:docPr id="44" name="Frame4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133985" cy="175260"/>
                      <wp:effectExtent l="0" t="0" r="0" b="0"/>
                      <wp:wrapNone/>
                      <wp:docPr id="45" name="Frame4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495935" cy="175260"/>
                      <wp:effectExtent l="0" t="0" r="0" b="0"/>
                      <wp:wrapNone/>
                      <wp:docPr id="46" name="Frame45"/>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219710" cy="175260"/>
                      <wp:effectExtent l="0" t="0" r="0" b="0"/>
                      <wp:wrapNone/>
                      <wp:docPr id="47" name="Frame4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3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150495" cy="175260"/>
                      <wp:effectExtent l="0" t="0" r="0" b="0"/>
                      <wp:wrapNone/>
                      <wp:docPr id="48" name="Frame47"/>
                      <a:graphic xmlns:a="http://schemas.openxmlformats.org/drawingml/2006/main">
                        <a:graphicData uri="http://schemas.microsoft.com/office/word/2010/wordprocessingShape">
                          <wps:wsp>
                            <wps:cNvSpPr txBox="1"/>
                            <wps:spPr>
                              <a:xfrm>
                                <a:off x="0" y="0"/>
                                <a:ext cx="15049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94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02615" cy="175260"/>
                      <wp:effectExtent l="0" t="0" r="0" b="0"/>
                      <wp:wrapNone/>
                      <wp:docPr id="49" name="Frame48"/>
                      <a:graphic xmlns:a="http://schemas.openxmlformats.org/drawingml/2006/main">
                        <a:graphicData uri="http://schemas.microsoft.com/office/word/2010/wordprocessingShape">
                          <wps:wsp>
                            <wps:cNvSpPr txBox="1"/>
                            <wps:spPr>
                              <a:xfrm>
                                <a:off x="0" y="0"/>
                                <a:ext cx="60261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219710" cy="175260"/>
                      <wp:effectExtent l="0" t="0" r="0" b="0"/>
                      <wp:wrapNone/>
                      <wp:docPr id="50" name="Frame4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133985" cy="175260"/>
                      <wp:effectExtent l="0" t="0" r="0" b="0"/>
                      <wp:wrapNone/>
                      <wp:docPr id="51" name="Frame5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70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444500" cy="175260"/>
                      <wp:effectExtent l="0" t="0" r="0" b="0"/>
                      <wp:wrapNone/>
                      <wp:docPr id="52" name="Frame51"/>
                      <a:graphic xmlns:a="http://schemas.openxmlformats.org/drawingml/2006/main">
                        <a:graphicData uri="http://schemas.microsoft.com/office/word/2010/wordprocessingShape">
                          <wps:wsp>
                            <wps:cNvSpPr txBox="1"/>
                            <wps:spPr>
                              <a:xfrm>
                                <a:off x="0" y="0"/>
                                <a:ext cx="44450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r>
      <w:tr>
        <w:trPr/>
        <w:tc>
          <w:tcPr>
            <w:tcW w:w="3689" w:type="dxa"/>
            <w:tcBorders/>
            <w:vAlign w:val="center"/>
          </w:tcPr>
          <w:p>
            <w:pPr>
              <w:pStyle w:val="TableContents"/>
              <w:bidi w:val="0"/>
              <w:spacing w:lineRule="auto" w:line="285" w:before="0" w:after="0"/>
              <w:ind w:left="0" w:right="0" w:hanging="0"/>
              <w:jc w:val="center"/>
              <w:rPr/>
            </w:pPr>
            <w:r>
              <w:rPr/>
              <w:t>​</w:t>
            </w:r>
          </w:p>
        </w:tc>
        <w:tc>
          <w:tcPr>
            <w:tcW w:w="346" w:type="dxa"/>
            <w:tcBorders/>
            <w:vAlign w:val="center"/>
          </w:tcPr>
          <w:p>
            <w:pPr>
              <w:pStyle w:val="TableContents"/>
              <w:bidi w:val="0"/>
              <w:spacing w:lineRule="auto" w:line="285" w:before="0" w:after="0"/>
              <w:ind w:left="0" w:right="0" w:hanging="0"/>
              <w:jc w:val="center"/>
              <w:rPr/>
            </w:pPr>
            <w:r>
              <w:rPr/>
              <w:t>​</w:t>
            </w:r>
          </w:p>
        </w:tc>
        <w:tc>
          <w:tcPr>
            <w:tcW w:w="931" w:type="dxa"/>
            <w:tcBorders/>
            <w:vAlign w:val="center"/>
          </w:tcPr>
          <w:p>
            <w:pPr>
              <w:pStyle w:val="TableContents"/>
              <w:bidi w:val="0"/>
              <w:spacing w:lineRule="auto" w:line="285" w:before="0" w:after="0"/>
              <w:ind w:left="0" w:right="0" w:hanging="0"/>
              <w:jc w:val="center"/>
              <w:rPr/>
            </w:pPr>
            <w:r>
              <w:rPr/>
              <w:t>​</w:t>
            </w:r>
          </w:p>
        </w:tc>
        <w:tc>
          <w:tcPr>
            <w:tcW w:w="346" w:type="dxa"/>
            <w:tcBorders/>
            <w:vAlign w:val="center"/>
          </w:tcPr>
          <w:p>
            <w:pPr>
              <w:pStyle w:val="TableContents"/>
              <w:bidi w:val="0"/>
              <w:spacing w:lineRule="auto" w:line="285" w:before="0" w:after="0"/>
              <w:ind w:left="0" w:right="0" w:hanging="0"/>
              <w:jc w:val="center"/>
              <w:rPr/>
            </w:pPr>
            <w:r>
              <w:rPr/>
              <w:t>​</w:t>
            </w:r>
          </w:p>
        </w:tc>
        <w:tc>
          <w:tcPr>
            <w:tcW w:w="290" w:type="dxa"/>
            <w:tcBorders/>
            <w:vAlign w:val="center"/>
          </w:tcPr>
          <w:p>
            <w:pPr>
              <w:pStyle w:val="TableContents"/>
              <w:bidi w:val="0"/>
              <w:spacing w:lineRule="auto" w:line="285" w:before="0" w:after="0"/>
              <w:ind w:left="0" w:right="0" w:hanging="0"/>
              <w:jc w:val="center"/>
              <w:rPr/>
            </w:pPr>
            <w:r>
              <w:rPr/>
              <w:t>​</w:t>
            </w:r>
          </w:p>
        </w:tc>
        <w:tc>
          <w:tcPr>
            <w:tcW w:w="476" w:type="dxa"/>
            <w:tcBorders/>
            <w:vAlign w:val="center"/>
          </w:tcPr>
          <w:p>
            <w:pPr>
              <w:pStyle w:val="TableContents"/>
              <w:bidi w:val="0"/>
              <w:spacing w:lineRule="auto" w:line="285" w:before="0" w:after="0"/>
              <w:ind w:left="0" w:right="0" w:hanging="0"/>
              <w:jc w:val="center"/>
              <w:rPr/>
            </w:pPr>
            <w:r>
              <w:rPr/>
              <w:t>​</w:t>
            </w:r>
          </w:p>
        </w:tc>
        <w:tc>
          <w:tcPr>
            <w:tcW w:w="346" w:type="dxa"/>
            <w:tcBorders/>
            <w:vAlign w:val="center"/>
          </w:tcPr>
          <w:p>
            <w:pPr>
              <w:pStyle w:val="TableContents"/>
              <w:bidi w:val="0"/>
              <w:spacing w:lineRule="auto" w:line="285" w:before="0" w:after="0"/>
              <w:ind w:left="0" w:right="0" w:hanging="0"/>
              <w:jc w:val="center"/>
              <w:rPr/>
            </w:pPr>
            <w:r>
              <w:rPr/>
              <w:t>​</w:t>
            </w:r>
          </w:p>
        </w:tc>
        <w:tc>
          <w:tcPr>
            <w:tcW w:w="992" w:type="dxa"/>
            <w:gridSpan w:val="2"/>
            <w:tcBorders/>
            <w:vAlign w:val="center"/>
          </w:tcPr>
          <w:p>
            <w:pPr>
              <w:pStyle w:val="TableContents"/>
              <w:bidi w:val="0"/>
              <w:spacing w:lineRule="auto" w:line="285" w:before="1" w:after="1"/>
              <w:ind w:left="0" w:right="0" w:hanging="0"/>
              <w:jc w:val="center"/>
              <w:rPr>
                <w:rFonts w:ascii="Times New Roman;Times;serif" w:hAnsi="Times New Roman;Times;serif"/>
                <w:sz w:val="20"/>
              </w:rPr>
            </w:pPr>
            <w:r>
              <w:rPr>
                <w:rFonts w:ascii="Times New Roman;Times;serif" w:hAnsi="Times New Roman;Times;serif"/>
                <w:sz w:val="20"/>
              </w:rPr>
              <w:t>Additional</w:t>
            </w:r>
          </w:p>
        </w:tc>
        <w:tc>
          <w:tcPr>
            <w:tcW w:w="346" w:type="dxa"/>
            <w:tcBorders/>
            <w:vAlign w:val="center"/>
          </w:tcPr>
          <w:p>
            <w:pPr>
              <w:pStyle w:val="TableContents"/>
              <w:bidi w:val="0"/>
              <w:spacing w:lineRule="auto" w:line="285" w:before="0" w:after="0"/>
              <w:ind w:left="0" w:right="0" w:hanging="0"/>
              <w:jc w:val="center"/>
              <w:rPr/>
            </w:pPr>
            <w:r>
              <w:rPr/>
              <w:t>​</w:t>
            </w:r>
          </w:p>
        </w:tc>
        <w:tc>
          <w:tcPr>
            <w:tcW w:w="237" w:type="dxa"/>
            <w:tcBorders/>
            <w:vAlign w:val="center"/>
          </w:tcPr>
          <w:p>
            <w:pPr>
              <w:pStyle w:val="TableContents"/>
              <w:bidi w:val="0"/>
              <w:spacing w:lineRule="auto" w:line="285" w:before="0" w:after="0"/>
              <w:ind w:left="0" w:right="0" w:hanging="0"/>
              <w:jc w:val="center"/>
              <w:rPr/>
            </w:pPr>
            <w:r>
              <w:rPr/>
              <w:t>​</w:t>
            </w:r>
          </w:p>
        </w:tc>
        <w:tc>
          <w:tcPr>
            <w:tcW w:w="949" w:type="dxa"/>
            <w:tcBorders/>
            <w:vAlign w:val="center"/>
          </w:tcPr>
          <w:p>
            <w:pPr>
              <w:pStyle w:val="TableContents"/>
              <w:bidi w:val="0"/>
              <w:spacing w:lineRule="auto" w:line="285" w:before="0" w:after="0"/>
              <w:ind w:left="0" w:right="0" w:hanging="0"/>
              <w:jc w:val="center"/>
              <w:rPr/>
            </w:pPr>
            <w:r>
              <w:rPr/>
              <w:t>​</w:t>
            </w:r>
          </w:p>
        </w:tc>
        <w:tc>
          <w:tcPr>
            <w:tcW w:w="346" w:type="dxa"/>
            <w:tcBorders/>
            <w:vAlign w:val="center"/>
          </w:tcPr>
          <w:p>
            <w:pPr>
              <w:pStyle w:val="TableContents"/>
              <w:bidi w:val="0"/>
              <w:spacing w:lineRule="auto" w:line="285" w:before="0" w:after="0"/>
              <w:ind w:left="0" w:right="0" w:hanging="0"/>
              <w:jc w:val="center"/>
              <w:rPr/>
            </w:pPr>
            <w:r>
              <w:rPr/>
              <w:t>​</w:t>
            </w:r>
          </w:p>
        </w:tc>
        <w:tc>
          <w:tcPr>
            <w:tcW w:w="911" w:type="dxa"/>
            <w:gridSpan w:val="2"/>
            <w:tcBorders/>
            <w:vAlign w:val="center"/>
          </w:tcPr>
          <w:p>
            <w:pPr>
              <w:pStyle w:val="TableContents"/>
              <w:bidi w:val="0"/>
              <w:spacing w:lineRule="auto" w:line="285" w:before="0" w:after="0"/>
              <w:ind w:left="0" w:right="0" w:hanging="0"/>
              <w:jc w:val="center"/>
              <w:rPr/>
            </w:pPr>
            <w:r>
              <w:rPr/>
              <w:t>​</w:t>
            </w:r>
          </w:p>
        </w:tc>
      </w:tr>
      <w:tr>
        <w:trPr/>
        <w:tc>
          <w:tcPr>
            <w:tcW w:w="3689" w:type="dxa"/>
            <w:tcBorders/>
            <w:vAlign w:val="center"/>
          </w:tcPr>
          <w:p>
            <w:pPr>
              <w:pStyle w:val="TableContents"/>
              <w:bidi w:val="0"/>
              <w:spacing w:lineRule="auto" w:line="285" w:before="0" w:after="0"/>
              <w:ind w:left="0" w:right="0" w:hanging="0"/>
              <w:jc w:val="center"/>
              <w:rPr/>
            </w:pPr>
            <w:r>
              <w:rPr/>
              <w:t>​</w:t>
            </w:r>
          </w:p>
        </w:tc>
        <w:tc>
          <w:tcPr>
            <w:tcW w:w="346" w:type="dxa"/>
            <w:tcBorders/>
            <w:vAlign w:val="center"/>
          </w:tcPr>
          <w:p>
            <w:pPr>
              <w:pStyle w:val="TableContents"/>
              <w:bidi w:val="0"/>
              <w:spacing w:lineRule="auto" w:line="285" w:before="0" w:after="0"/>
              <w:ind w:left="0" w:right="0" w:hanging="0"/>
              <w:jc w:val="center"/>
              <w:rPr/>
            </w:pPr>
            <w:r>
              <w:rPr/>
              <w:t>​</w:t>
            </w:r>
          </w:p>
        </w:tc>
        <w:tc>
          <w:tcPr>
            <w:tcW w:w="2043" w:type="dxa"/>
            <w:gridSpan w:val="4"/>
            <w:tcBorders>
              <w:bottom w:val="single" w:sz="2" w:space="0" w:color="000000"/>
            </w:tcBorders>
            <w:tcMar>
              <w:bottom w:w="28" w:type="dxa"/>
            </w:tcMar>
            <w:vAlign w:val="center"/>
          </w:tcPr>
          <w:p>
            <w:pPr>
              <w:pStyle w:val="TableContents"/>
              <w:bidi w:val="0"/>
              <w:spacing w:lineRule="auto" w:line="285" w:before="1" w:after="1"/>
              <w:ind w:left="0" w:right="0" w:hanging="0"/>
              <w:jc w:val="center"/>
              <w:rPr>
                <w:rFonts w:ascii="Times New Roman;Times;serif" w:hAnsi="Times New Roman;Times;serif"/>
                <w:sz w:val="20"/>
              </w:rPr>
            </w:pPr>
            <w:r>
              <w:rPr>
                <w:rFonts w:ascii="Times New Roman;Times;serif" w:hAnsi="Times New Roman;Times;serif"/>
                <w:sz w:val="20"/>
              </w:rPr>
              <w:t>Common Stock</w:t>
            </w:r>
          </w:p>
        </w:tc>
        <w:tc>
          <w:tcPr>
            <w:tcW w:w="346" w:type="dxa"/>
            <w:tcBorders/>
            <w:vAlign w:val="center"/>
          </w:tcPr>
          <w:p>
            <w:pPr>
              <w:pStyle w:val="TableContents"/>
              <w:bidi w:val="0"/>
              <w:spacing w:lineRule="auto" w:line="285" w:before="0" w:after="0"/>
              <w:ind w:left="0" w:right="0" w:hanging="0"/>
              <w:jc w:val="center"/>
              <w:rPr/>
            </w:pPr>
            <w:r>
              <w:rPr/>
              <w:t>​</w:t>
            </w:r>
          </w:p>
        </w:tc>
        <w:tc>
          <w:tcPr>
            <w:tcW w:w="992" w:type="dxa"/>
            <w:gridSpan w:val="2"/>
            <w:tcBorders/>
            <w:vAlign w:val="center"/>
          </w:tcPr>
          <w:p>
            <w:pPr>
              <w:pStyle w:val="TableContents"/>
              <w:bidi w:val="0"/>
              <w:spacing w:lineRule="auto" w:line="285" w:before="1" w:after="1"/>
              <w:ind w:left="0" w:right="0" w:hanging="0"/>
              <w:jc w:val="center"/>
              <w:rPr>
                <w:rFonts w:ascii="Times New Roman;Times;serif" w:hAnsi="Times New Roman;Times;serif"/>
                <w:sz w:val="20"/>
              </w:rPr>
            </w:pPr>
            <w:r>
              <w:rPr>
                <w:rFonts w:ascii="Times New Roman;Times;serif" w:hAnsi="Times New Roman;Times;serif"/>
                <w:sz w:val="20"/>
              </w:rPr>
              <w:t>Paid-In</w:t>
            </w:r>
          </w:p>
        </w:tc>
        <w:tc>
          <w:tcPr>
            <w:tcW w:w="346" w:type="dxa"/>
            <w:tcBorders/>
            <w:vAlign w:val="center"/>
          </w:tcPr>
          <w:p>
            <w:pPr>
              <w:pStyle w:val="TableContents"/>
              <w:bidi w:val="0"/>
              <w:spacing w:lineRule="auto" w:line="285" w:before="0" w:after="0"/>
              <w:ind w:left="0" w:right="0" w:hanging="0"/>
              <w:jc w:val="center"/>
              <w:rPr/>
            </w:pPr>
            <w:r>
              <w:rPr/>
              <w:t>​</w:t>
            </w:r>
          </w:p>
        </w:tc>
        <w:tc>
          <w:tcPr>
            <w:tcW w:w="1186" w:type="dxa"/>
            <w:gridSpan w:val="2"/>
            <w:tcBorders/>
            <w:vAlign w:val="center"/>
          </w:tcPr>
          <w:p>
            <w:pPr>
              <w:pStyle w:val="TableContents"/>
              <w:bidi w:val="0"/>
              <w:spacing w:lineRule="auto" w:line="285" w:before="1" w:after="1"/>
              <w:ind w:left="0" w:right="0" w:hanging="0"/>
              <w:jc w:val="center"/>
              <w:rPr>
                <w:rFonts w:ascii="Times New Roman;Times;serif" w:hAnsi="Times New Roman;Times;serif"/>
                <w:sz w:val="20"/>
              </w:rPr>
            </w:pPr>
            <w:r>
              <w:rPr>
                <w:rFonts w:ascii="Times New Roman;Times;serif" w:hAnsi="Times New Roman;Times;serif"/>
                <w:sz w:val="20"/>
              </w:rPr>
              <w:t>Accumulated</w:t>
            </w:r>
          </w:p>
        </w:tc>
        <w:tc>
          <w:tcPr>
            <w:tcW w:w="346" w:type="dxa"/>
            <w:tcBorders/>
            <w:vAlign w:val="center"/>
          </w:tcPr>
          <w:p>
            <w:pPr>
              <w:pStyle w:val="TableContents"/>
              <w:bidi w:val="0"/>
              <w:spacing w:lineRule="auto" w:line="285" w:before="0" w:after="0"/>
              <w:ind w:left="0" w:right="0" w:hanging="0"/>
              <w:jc w:val="center"/>
              <w:rPr/>
            </w:pPr>
            <w:r>
              <w:rPr/>
              <w:t>​</w:t>
            </w:r>
          </w:p>
        </w:tc>
        <w:tc>
          <w:tcPr>
            <w:tcW w:w="911" w:type="dxa"/>
            <w:gridSpan w:val="2"/>
            <w:tcBorders/>
            <w:vAlign w:val="center"/>
          </w:tcPr>
          <w:p>
            <w:pPr>
              <w:pStyle w:val="TableContents"/>
              <w:bidi w:val="0"/>
              <w:spacing w:lineRule="auto" w:line="285" w:before="1" w:after="1"/>
              <w:ind w:left="0" w:right="0" w:hanging="0"/>
              <w:jc w:val="center"/>
              <w:rPr>
                <w:rFonts w:ascii="Times New Roman;Times;serif" w:hAnsi="Times New Roman;Times;serif"/>
                <w:sz w:val="20"/>
              </w:rPr>
            </w:pPr>
            <w:r>
              <w:rPr>
                <w:rFonts w:ascii="Times New Roman;Times;serif" w:hAnsi="Times New Roman;Times;serif"/>
                <w:sz w:val="20"/>
              </w:rPr>
              <w:t>Total</w:t>
            </w:r>
          </w:p>
        </w:tc>
      </w:tr>
      <w:tr>
        <w:trPr/>
        <w:tc>
          <w:tcPr>
            <w:tcW w:w="3689"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center"/>
              <w:rPr/>
            </w:pPr>
            <w:r>
              <w:rPr/>
              <w:t>​</w:t>
            </w:r>
          </w:p>
        </w:tc>
        <w:tc>
          <w:tcPr>
            <w:tcW w:w="346" w:type="dxa"/>
            <w:tcBorders>
              <w:bottom w:val="single" w:sz="2" w:space="0" w:color="000000"/>
            </w:tcBorders>
            <w:shd w:fill="CCEEFF" w:val="clear"/>
            <w:tcMar>
              <w:bottom w:w="28" w:type="dxa"/>
            </w:tcMar>
            <w:vAlign w:val="center"/>
          </w:tcPr>
          <w:p>
            <w:pPr>
              <w:pStyle w:val="TableContents"/>
              <w:bidi w:val="0"/>
              <w:spacing w:lineRule="auto" w:line="285" w:before="1" w:after="1"/>
              <w:ind w:left="0" w:right="0" w:hanging="0"/>
              <w:jc w:val="center"/>
              <w:rPr/>
            </w:pPr>
            <w:r>
              <w:rPr/>
              <w:t>  ​ ​ ​</w:t>
            </w:r>
          </w:p>
        </w:tc>
        <w:tc>
          <w:tcPr>
            <w:tcW w:w="931" w:type="dxa"/>
            <w:tcBorders>
              <w:bottom w:val="single" w:sz="2" w:space="0" w:color="000000"/>
            </w:tcBorders>
            <w:shd w:fill="CCEEFF" w:val="clear"/>
            <w:tcMar>
              <w:bottom w:w="28" w:type="dxa"/>
            </w:tcMar>
            <w:vAlign w:val="center"/>
          </w:tcPr>
          <w:p>
            <w:pPr>
              <w:pStyle w:val="TableContents"/>
              <w:bidi w:val="0"/>
              <w:spacing w:lineRule="auto" w:line="285" w:before="1" w:after="1"/>
              <w:ind w:left="0" w:right="0" w:hanging="0"/>
              <w:jc w:val="center"/>
              <w:rPr>
                <w:rFonts w:ascii="Times New Roman;Times;serif" w:hAnsi="Times New Roman;Times;serif"/>
                <w:sz w:val="20"/>
              </w:rPr>
            </w:pPr>
            <w:r>
              <w:rPr>
                <w:rFonts w:ascii="Times New Roman;Times;serif" w:hAnsi="Times New Roman;Times;serif"/>
                <w:sz w:val="20"/>
              </w:rPr>
              <w:t>Shares</w:t>
            </w:r>
          </w:p>
        </w:tc>
        <w:tc>
          <w:tcPr>
            <w:tcW w:w="346" w:type="dxa"/>
            <w:tcBorders>
              <w:bottom w:val="single" w:sz="2" w:space="0" w:color="000000"/>
            </w:tcBorders>
            <w:shd w:fill="CCEEFF" w:val="clear"/>
            <w:tcMar>
              <w:bottom w:w="28" w:type="dxa"/>
            </w:tcMar>
            <w:vAlign w:val="center"/>
          </w:tcPr>
          <w:p>
            <w:pPr>
              <w:pStyle w:val="TableContents"/>
              <w:bidi w:val="0"/>
              <w:spacing w:lineRule="auto" w:line="285" w:before="1" w:after="1"/>
              <w:ind w:left="0" w:right="0" w:hanging="0"/>
              <w:jc w:val="center"/>
              <w:rPr/>
            </w:pPr>
            <w:r>
              <w:rPr/>
              <w:t>  ​ ​ ​</w:t>
            </w:r>
          </w:p>
        </w:tc>
        <w:tc>
          <w:tcPr>
            <w:tcW w:w="766" w:type="dxa"/>
            <w:gridSpan w:val="2"/>
            <w:tcBorders>
              <w:bottom w:val="single" w:sz="2" w:space="0" w:color="000000"/>
            </w:tcBorders>
            <w:shd w:fill="CCEEFF" w:val="clear"/>
            <w:tcMar>
              <w:bottom w:w="28" w:type="dxa"/>
            </w:tcMar>
            <w:vAlign w:val="center"/>
          </w:tcPr>
          <w:p>
            <w:pPr>
              <w:pStyle w:val="TableContents"/>
              <w:bidi w:val="0"/>
              <w:spacing w:lineRule="auto" w:line="285" w:before="1" w:after="1"/>
              <w:ind w:left="0" w:right="0" w:hanging="0"/>
              <w:jc w:val="center"/>
              <w:rPr>
                <w:rFonts w:ascii="Times New Roman;Times;serif" w:hAnsi="Times New Roman;Times;serif"/>
                <w:sz w:val="20"/>
              </w:rPr>
            </w:pPr>
            <w:r>
              <w:rPr>
                <w:rFonts w:ascii="Times New Roman;Times;serif" w:hAnsi="Times New Roman;Times;serif"/>
                <w:sz w:val="20"/>
              </w:rPr>
              <w:t>Amount</w:t>
            </w:r>
          </w:p>
        </w:tc>
        <w:tc>
          <w:tcPr>
            <w:tcW w:w="346" w:type="dxa"/>
            <w:tcBorders>
              <w:bottom w:val="single" w:sz="2" w:space="0" w:color="000000"/>
            </w:tcBorders>
            <w:shd w:fill="CCEEFF" w:val="clear"/>
            <w:tcMar>
              <w:bottom w:w="28" w:type="dxa"/>
            </w:tcMar>
            <w:vAlign w:val="center"/>
          </w:tcPr>
          <w:p>
            <w:pPr>
              <w:pStyle w:val="TableContents"/>
              <w:bidi w:val="0"/>
              <w:spacing w:lineRule="auto" w:line="285" w:before="1" w:after="1"/>
              <w:ind w:left="0" w:right="0" w:hanging="0"/>
              <w:jc w:val="center"/>
              <w:rPr/>
            </w:pPr>
            <w:r>
              <w:rPr/>
              <w:t>  ​ ​ ​</w:t>
            </w:r>
          </w:p>
        </w:tc>
        <w:tc>
          <w:tcPr>
            <w:tcW w:w="992" w:type="dxa"/>
            <w:gridSpan w:val="2"/>
            <w:tcBorders>
              <w:bottom w:val="single" w:sz="2" w:space="0" w:color="000000"/>
            </w:tcBorders>
            <w:shd w:fill="CCEEFF" w:val="clear"/>
            <w:tcMar>
              <w:bottom w:w="28" w:type="dxa"/>
            </w:tcMar>
            <w:vAlign w:val="center"/>
          </w:tcPr>
          <w:p>
            <w:pPr>
              <w:pStyle w:val="TableContents"/>
              <w:bidi w:val="0"/>
              <w:spacing w:lineRule="auto" w:line="285" w:before="1" w:after="1"/>
              <w:ind w:left="0" w:right="0" w:hanging="0"/>
              <w:jc w:val="center"/>
              <w:rPr>
                <w:rFonts w:ascii="Times New Roman;Times;serif" w:hAnsi="Times New Roman;Times;serif"/>
                <w:sz w:val="20"/>
              </w:rPr>
            </w:pPr>
            <w:r>
              <w:rPr>
                <w:rFonts w:ascii="Times New Roman;Times;serif" w:hAnsi="Times New Roman;Times;serif"/>
                <w:sz w:val="20"/>
              </w:rPr>
              <w:t>Capital</w:t>
            </w:r>
          </w:p>
        </w:tc>
        <w:tc>
          <w:tcPr>
            <w:tcW w:w="346" w:type="dxa"/>
            <w:tcBorders>
              <w:bottom w:val="single" w:sz="2" w:space="0" w:color="000000"/>
            </w:tcBorders>
            <w:shd w:fill="CCEEFF" w:val="clear"/>
            <w:tcMar>
              <w:bottom w:w="28" w:type="dxa"/>
            </w:tcMar>
            <w:vAlign w:val="center"/>
          </w:tcPr>
          <w:p>
            <w:pPr>
              <w:pStyle w:val="TableContents"/>
              <w:bidi w:val="0"/>
              <w:spacing w:lineRule="auto" w:line="285" w:before="1" w:after="1"/>
              <w:ind w:left="0" w:right="0" w:hanging="0"/>
              <w:jc w:val="center"/>
              <w:rPr/>
            </w:pPr>
            <w:r>
              <w:rPr/>
              <w:t>  ​ ​ ​</w:t>
            </w:r>
          </w:p>
        </w:tc>
        <w:tc>
          <w:tcPr>
            <w:tcW w:w="1186" w:type="dxa"/>
            <w:gridSpan w:val="2"/>
            <w:tcBorders>
              <w:bottom w:val="single" w:sz="2" w:space="0" w:color="000000"/>
            </w:tcBorders>
            <w:shd w:fill="CCEEFF" w:val="clear"/>
            <w:tcMar>
              <w:bottom w:w="28" w:type="dxa"/>
            </w:tcMar>
            <w:vAlign w:val="center"/>
          </w:tcPr>
          <w:p>
            <w:pPr>
              <w:pStyle w:val="TableContents"/>
              <w:bidi w:val="0"/>
              <w:spacing w:lineRule="auto" w:line="285" w:before="1" w:after="1"/>
              <w:ind w:left="0" w:right="0" w:hanging="0"/>
              <w:jc w:val="center"/>
              <w:rPr>
                <w:rFonts w:ascii="Times New Roman;Times;serif" w:hAnsi="Times New Roman;Times;serif"/>
                <w:sz w:val="20"/>
              </w:rPr>
            </w:pPr>
            <w:r>
              <w:rPr>
                <w:rFonts w:ascii="Times New Roman;Times;serif" w:hAnsi="Times New Roman;Times;serif"/>
                <w:sz w:val="20"/>
              </w:rPr>
              <w:t>Deficit</w:t>
            </w:r>
          </w:p>
        </w:tc>
        <w:tc>
          <w:tcPr>
            <w:tcW w:w="346" w:type="dxa"/>
            <w:tcBorders>
              <w:bottom w:val="single" w:sz="2" w:space="0" w:color="000000"/>
            </w:tcBorders>
            <w:shd w:fill="CCEEFF" w:val="clear"/>
            <w:tcMar>
              <w:bottom w:w="28" w:type="dxa"/>
            </w:tcMar>
            <w:vAlign w:val="center"/>
          </w:tcPr>
          <w:p>
            <w:pPr>
              <w:pStyle w:val="TableContents"/>
              <w:bidi w:val="0"/>
              <w:spacing w:lineRule="auto" w:line="285" w:before="1" w:after="1"/>
              <w:ind w:left="0" w:right="0" w:hanging="0"/>
              <w:jc w:val="center"/>
              <w:rPr/>
            </w:pPr>
            <w:r>
              <w:rPr/>
              <w:t>  ​ ​ ​</w:t>
            </w:r>
          </w:p>
        </w:tc>
        <w:tc>
          <w:tcPr>
            <w:tcW w:w="911" w:type="dxa"/>
            <w:gridSpan w:val="2"/>
            <w:tcBorders>
              <w:bottom w:val="single" w:sz="2" w:space="0" w:color="000000"/>
            </w:tcBorders>
            <w:shd w:fill="CCEEFF" w:val="clear"/>
            <w:tcMar>
              <w:bottom w:w="28" w:type="dxa"/>
            </w:tcMar>
            <w:vAlign w:val="center"/>
          </w:tcPr>
          <w:p>
            <w:pPr>
              <w:pStyle w:val="TableContents"/>
              <w:bidi w:val="0"/>
              <w:spacing w:lineRule="auto" w:line="285" w:before="1" w:after="1"/>
              <w:ind w:left="0" w:right="0" w:hanging="0"/>
              <w:jc w:val="center"/>
              <w:rPr>
                <w:rFonts w:ascii="Times New Roman;Times;serif" w:hAnsi="Times New Roman;Times;serif"/>
                <w:sz w:val="20"/>
              </w:rPr>
            </w:pPr>
            <w:r>
              <w:rPr>
                <w:rFonts w:ascii="Times New Roman;Times;serif" w:hAnsi="Times New Roman;Times;serif"/>
                <w:sz w:val="20"/>
              </w:rPr>
              <w:t>Equity</w:t>
            </w:r>
          </w:p>
        </w:tc>
      </w:tr>
      <w:tr>
        <w:trPr/>
        <w:tc>
          <w:tcPr>
            <w:tcW w:w="3689" w:type="dxa"/>
            <w:tcBorders/>
            <w:vAlign w:val="center"/>
          </w:tcPr>
          <w:p>
            <w:pPr>
              <w:pStyle w:val="TableContents"/>
              <w:bidi w:val="0"/>
              <w:spacing w:lineRule="auto" w:line="285" w:before="1" w:after="1"/>
              <w:ind w:left="0" w:right="0" w:hanging="0"/>
              <w:jc w:val="left"/>
              <w:rPr>
                <w:rFonts w:ascii="Times New Roman;Times;serif" w:hAnsi="Times New Roman;Times;serif"/>
                <w:sz w:val="20"/>
              </w:rPr>
            </w:pPr>
            <w:r>
              <w:rPr>
                <w:rFonts w:ascii="Times New Roman;Times;serif" w:hAnsi="Times New Roman;Times;serif"/>
                <w:sz w:val="20"/>
              </w:rPr>
              <w:t>As of January 1, 2025</w:t>
            </w:r>
          </w:p>
        </w:tc>
        <w:tc>
          <w:tcPr>
            <w:tcW w:w="346" w:type="dxa"/>
            <w:tcBorders/>
            <w:vAlign w:val="center"/>
          </w:tcPr>
          <w:p>
            <w:pPr>
              <w:pStyle w:val="TableContents"/>
              <w:bidi w:val="0"/>
              <w:spacing w:lineRule="auto" w:line="285" w:before="0" w:after="0"/>
              <w:ind w:left="0" w:right="0" w:hanging="0"/>
              <w:jc w:val="left"/>
              <w:rPr/>
            </w:pPr>
            <w:r>
              <w:rPr/>
              <w:t>​</w:t>
            </w:r>
          </w:p>
        </w:tc>
        <w:tc>
          <w:tcPr>
            <w:tcW w:w="931" w:type="dxa"/>
            <w:tcBorders/>
            <w:vAlign w:val="center"/>
          </w:tcPr>
          <w:p>
            <w:pPr>
              <w:pStyle w:val="TableContents"/>
              <w:bidi w:val="0"/>
              <w:spacing w:lineRule="auto" w:line="285" w:before="1" w:after="1"/>
              <w:ind w:left="0" w:right="0" w:hanging="0"/>
              <w:jc w:val="right"/>
              <w:rPr>
                <w:rFonts w:ascii="Times New Roman;Times;serif" w:hAnsi="Times New Roman;Times;serif"/>
                <w:sz w:val="20"/>
              </w:rPr>
            </w:pPr>
            <w:r>
              <w:rPr>
                <w:rFonts w:ascii="Times New Roman;Times;serif" w:hAnsi="Times New Roman;Times;serif"/>
                <w:sz w:val="20"/>
              </w:rPr>
              <w:t>785,194</w:t>
            </w:r>
          </w:p>
        </w:tc>
        <w:tc>
          <w:tcPr>
            <w:tcW w:w="346" w:type="dxa"/>
            <w:tcBorders/>
            <w:vAlign w:val="center"/>
          </w:tcPr>
          <w:p>
            <w:pPr>
              <w:pStyle w:val="TableContents"/>
              <w:bidi w:val="0"/>
              <w:spacing w:lineRule="auto" w:line="285" w:before="0" w:after="0"/>
              <w:ind w:left="0" w:right="0" w:hanging="0"/>
              <w:jc w:val="left"/>
              <w:rPr/>
            </w:pPr>
            <w:r>
              <w:rPr/>
              <w:t>​</w:t>
            </w:r>
          </w:p>
        </w:tc>
        <w:tc>
          <w:tcPr>
            <w:tcW w:w="290" w:type="dxa"/>
            <w:tcBorders/>
            <w:vAlign w:val="center"/>
          </w:tcPr>
          <w:p>
            <w:pPr>
              <w:pStyle w:val="TableContents"/>
              <w:bidi w:val="0"/>
              <w:spacing w:lineRule="auto" w:line="285" w:before="1" w:after="1"/>
              <w:ind w:left="0" w:right="0" w:hanging="0"/>
              <w:jc w:val="left"/>
              <w:rPr>
                <w:rFonts w:ascii="Times New Roman;Times;serif" w:hAnsi="Times New Roman;Times;serif"/>
                <w:sz w:val="20"/>
              </w:rPr>
            </w:pPr>
            <w:r>
              <w:rPr>
                <w:rFonts w:ascii="Times New Roman;Times;serif" w:hAnsi="Times New Roman;Times;serif"/>
                <w:sz w:val="20"/>
              </w:rPr>
              <w:t>$</w:t>
            </w:r>
          </w:p>
        </w:tc>
        <w:tc>
          <w:tcPr>
            <w:tcW w:w="476" w:type="dxa"/>
            <w:tcBorders/>
            <w:vAlign w:val="center"/>
          </w:tcPr>
          <w:p>
            <w:pPr>
              <w:pStyle w:val="TableContents"/>
              <w:bidi w:val="0"/>
              <w:spacing w:lineRule="auto" w:line="285" w:before="1" w:after="1"/>
              <w:ind w:left="0" w:right="0" w:hanging="0"/>
              <w:jc w:val="right"/>
              <w:rPr>
                <w:rFonts w:ascii="Times New Roman;Times;serif" w:hAnsi="Times New Roman;Times;serif"/>
                <w:sz w:val="20"/>
              </w:rPr>
            </w:pPr>
            <w:r>
              <w:rPr>
                <w:rFonts w:ascii="Times New Roman;Times;serif" w:hAnsi="Times New Roman;Times;serif"/>
                <w:sz w:val="20"/>
              </w:rPr>
              <w:t>1</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1"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vAlign w:val="center"/>
          </w:tcPr>
          <w:p>
            <w:pPr>
              <w:pStyle w:val="TableContents"/>
              <w:bidi w:val="0"/>
              <w:spacing w:lineRule="auto" w:line="285" w:before="1" w:after="1"/>
              <w:ind w:left="0" w:right="0" w:hanging="0"/>
              <w:jc w:val="right"/>
              <w:rPr>
                <w:rFonts w:ascii="Times New Roman;Times;serif" w:hAnsi="Times New Roman;Times;serif"/>
                <w:sz w:val="20"/>
              </w:rPr>
            </w:pPr>
            <w:r>
              <w:rPr>
                <w:rFonts w:ascii="Times New Roman;Times;serif" w:hAnsi="Times New Roman;Times;serif"/>
                <w:sz w:val="20"/>
              </w:rPr>
              <w:t>143,787</w:t>
            </w:r>
          </w:p>
        </w:tc>
        <w:tc>
          <w:tcPr>
            <w:tcW w:w="346" w:type="dxa"/>
            <w:tcBorders/>
            <w:vAlign w:val="center"/>
          </w:tcPr>
          <w:p>
            <w:pPr>
              <w:pStyle w:val="TableContents"/>
              <w:bidi w:val="0"/>
              <w:spacing w:lineRule="auto" w:line="285" w:before="0" w:after="0"/>
              <w:ind w:left="0" w:right="0" w:hanging="0"/>
              <w:jc w:val="left"/>
              <w:rPr/>
            </w:pPr>
            <w:r>
              <w:rPr/>
              <w:t>​</w:t>
            </w:r>
          </w:p>
        </w:tc>
        <w:tc>
          <w:tcPr>
            <w:tcW w:w="237" w:type="dxa"/>
            <w:tcBorders/>
            <w:vAlign w:val="center"/>
          </w:tcPr>
          <w:p>
            <w:pPr>
              <w:pStyle w:val="TableContents"/>
              <w:bidi w:val="0"/>
              <w:spacing w:lineRule="auto" w:line="285" w:before="1" w:after="1"/>
              <w:ind w:left="0" w:right="0" w:hanging="0"/>
              <w:jc w:val="left"/>
              <w:rPr>
                <w:rFonts w:ascii="Times New Roman;Times;serif" w:hAnsi="Times New Roman;Times;serif"/>
                <w:sz w:val="20"/>
              </w:rPr>
            </w:pPr>
            <w:r>
              <w:rPr>
                <w:rFonts w:ascii="Times New Roman;Times;serif" w:hAnsi="Times New Roman;Times;serif"/>
                <w:sz w:val="20"/>
              </w:rPr>
              <w:t>$</w:t>
            </w:r>
          </w:p>
        </w:tc>
        <w:tc>
          <w:tcPr>
            <w:tcW w:w="949" w:type="dxa"/>
            <w:tcBorders/>
            <w:vAlign w:val="center"/>
          </w:tcPr>
          <w:p>
            <w:pPr>
              <w:pStyle w:val="TableContents"/>
              <w:bidi w:val="0"/>
              <w:spacing w:lineRule="auto" w:line="285" w:before="1" w:after="1"/>
              <w:ind w:left="0" w:right="0" w:hanging="0"/>
              <w:jc w:val="right"/>
              <w:rPr>
                <w:rFonts w:ascii="Times New Roman;Times;serif" w:hAnsi="Times New Roman;Times;serif"/>
                <w:sz w:val="20"/>
              </w:rPr>
            </w:pPr>
            <w:r>
              <w:rPr>
                <w:rFonts w:ascii="Times New Roman;Times;serif" w:hAnsi="Times New Roman;Times;serif"/>
                <w:sz w:val="20"/>
              </w:rPr>
              <w:t>(135,857)</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1" w:after="1"/>
              <w:ind w:left="0" w:right="0" w:hanging="0"/>
              <w:jc w:val="left"/>
              <w:rPr>
                <w:rFonts w:ascii="Times New Roman;Times;serif" w:hAnsi="Times New Roman;Times;serif"/>
                <w:sz w:val="20"/>
              </w:rPr>
            </w:pPr>
            <w:r>
              <w:rPr>
                <w:rFonts w:ascii="Times New Roman;Times;serif" w:hAnsi="Times New Roman;Times;serif"/>
                <w:sz w:val="20"/>
              </w:rPr>
              <w:t>$</w:t>
            </w:r>
          </w:p>
        </w:tc>
        <w:tc>
          <w:tcPr>
            <w:tcW w:w="700" w:type="dxa"/>
            <w:tcBorders/>
            <w:vAlign w:val="center"/>
          </w:tcPr>
          <w:p>
            <w:pPr>
              <w:pStyle w:val="TableContents"/>
              <w:bidi w:val="0"/>
              <w:spacing w:lineRule="auto" w:line="285" w:before="1" w:after="1"/>
              <w:ind w:left="0" w:right="0" w:hanging="0"/>
              <w:jc w:val="right"/>
              <w:rPr>
                <w:rFonts w:ascii="Times New Roman;Times;serif" w:hAnsi="Times New Roman;Times;serif"/>
                <w:sz w:val="20"/>
              </w:rPr>
            </w:pPr>
            <w:r>
              <w:rPr>
                <w:rFonts w:ascii="Times New Roman;Times;serif" w:hAnsi="Times New Roman;Times;serif"/>
                <w:sz w:val="20"/>
              </w:rPr>
              <w:t>7,931</w:t>
            </w:r>
          </w:p>
        </w:tc>
      </w:tr>
      <w:tr>
        <w:trPr/>
        <w:tc>
          <w:tcPr>
            <w:tcW w:w="3689" w:type="dxa"/>
            <w:tcBorders/>
            <w:shd w:fill="CCEEFF" w:val="clear"/>
            <w:vAlign w:val="center"/>
          </w:tcPr>
          <w:p>
            <w:pPr>
              <w:pStyle w:val="TableContents"/>
              <w:bidi w:val="0"/>
              <w:spacing w:lineRule="auto" w:line="285" w:before="1" w:after="1"/>
              <w:ind w:left="0" w:right="0" w:hanging="0"/>
              <w:jc w:val="left"/>
              <w:rPr>
                <w:rFonts w:ascii="Times New Roman;Times;serif" w:hAnsi="Times New Roman;Times;serif"/>
                <w:sz w:val="20"/>
              </w:rPr>
            </w:pPr>
            <w:r>
              <w:rPr>
                <w:rFonts w:ascii="Times New Roman;Times;serif" w:hAnsi="Times New Roman;Times;serif"/>
                <w:sz w:val="20"/>
              </w:rPr>
              <w:t>Issuance of stock for vested restricted stock units, net of shares withheld for withholding taxes</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931" w:type="dxa"/>
            <w:tcBorders/>
            <w:shd w:fill="CCEEFF" w:val="clear"/>
            <w:vAlign w:val="center"/>
          </w:tcPr>
          <w:p>
            <w:pPr>
              <w:pStyle w:val="TableContents"/>
              <w:bidi w:val="0"/>
              <w:spacing w:lineRule="auto" w:line="285" w:before="1" w:after="1"/>
              <w:ind w:left="0" w:right="0" w:hanging="0"/>
              <w:jc w:val="right"/>
              <w:rPr>
                <w:rFonts w:ascii="Times New Roman;Times;serif" w:hAnsi="Times New Roman;Times;serif"/>
                <w:sz w:val="20"/>
              </w:rPr>
            </w:pPr>
            <w:r>
              <w:rPr>
                <w:rFonts w:ascii="Times New Roman;Times;serif" w:hAnsi="Times New Roman;Times;serif"/>
                <w:sz w:val="20"/>
              </w:rPr>
              <w:t>1,612</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90" w:type="dxa"/>
            <w:tcBorders/>
            <w:shd w:fill="CCEEFF" w:val="clear"/>
            <w:vAlign w:val="center"/>
          </w:tcPr>
          <w:p>
            <w:pPr>
              <w:pStyle w:val="TableContents"/>
              <w:bidi w:val="0"/>
              <w:spacing w:lineRule="auto" w:line="285" w:before="0" w:after="0"/>
              <w:ind w:left="0" w:right="0" w:hanging="0"/>
              <w:jc w:val="left"/>
              <w:rPr/>
            </w:pPr>
            <w:r>
              <w:rPr/>
              <w:t>​</w:t>
            </w:r>
          </w:p>
        </w:tc>
        <w:tc>
          <w:tcPr>
            <w:tcW w:w="476" w:type="dxa"/>
            <w:tcBorders/>
            <w:shd w:fill="CCEEFF" w:val="clear"/>
            <w:vAlign w:val="center"/>
          </w:tcPr>
          <w:p>
            <w:pPr>
              <w:pStyle w:val="TableContents"/>
              <w:bidi w:val="0"/>
              <w:spacing w:lineRule="auto" w:line="285" w:before="1" w:after="1"/>
              <w:ind w:left="0" w:right="0" w:hanging="0"/>
              <w:jc w:val="righ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pPr>
            <w:r>
              <w:rPr/>
              <w:t>​</w:t>
            </w:r>
          </w:p>
        </w:tc>
        <w:tc>
          <w:tcPr>
            <w:tcW w:w="781" w:type="dxa"/>
            <w:tcBorders/>
            <w:shd w:fill="CCEEFF" w:val="clear"/>
            <w:vAlign w:val="center"/>
          </w:tcPr>
          <w:p>
            <w:pPr>
              <w:pStyle w:val="TableContents"/>
              <w:bidi w:val="0"/>
              <w:spacing w:lineRule="auto" w:line="285" w:before="1" w:after="1"/>
              <w:ind w:left="0" w:right="0" w:hanging="0"/>
              <w:jc w:val="right"/>
              <w:rPr>
                <w:rFonts w:ascii="Times New Roman;Times;serif" w:hAnsi="Times New Roman;Times;serif"/>
                <w:sz w:val="20"/>
              </w:rPr>
            </w:pPr>
            <w:r>
              <w:rPr>
                <w:rFonts w:ascii="Times New Roman;Times;serif" w:hAnsi="Times New Roman;Times;serif"/>
                <w:sz w:val="20"/>
              </w:rPr>
              <w:t>(12)</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37" w:type="dxa"/>
            <w:tcBorders/>
            <w:shd w:fill="CCEEFF" w:val="clear"/>
            <w:vAlign w:val="center"/>
          </w:tcPr>
          <w:p>
            <w:pPr>
              <w:pStyle w:val="TableContents"/>
              <w:bidi w:val="0"/>
              <w:spacing w:lineRule="auto" w:line="285" w:before="0" w:after="0"/>
              <w:ind w:left="0" w:right="0" w:hanging="0"/>
              <w:jc w:val="left"/>
              <w:rPr/>
            </w:pPr>
            <w:r>
              <w:rPr/>
              <w:t>​</w:t>
            </w:r>
          </w:p>
        </w:tc>
        <w:tc>
          <w:tcPr>
            <w:tcW w:w="949" w:type="dxa"/>
            <w:tcBorders/>
            <w:shd w:fill="CCEEFF" w:val="clear"/>
            <w:vAlign w:val="center"/>
          </w:tcPr>
          <w:p>
            <w:pPr>
              <w:pStyle w:val="TableContents"/>
              <w:bidi w:val="0"/>
              <w:spacing w:lineRule="auto" w:line="285" w:before="1" w:after="1"/>
              <w:ind w:left="0" w:right="0" w:hanging="0"/>
              <w:jc w:val="righ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pPr>
            <w:r>
              <w:rPr/>
              <w:t>​</w:t>
            </w:r>
          </w:p>
        </w:tc>
        <w:tc>
          <w:tcPr>
            <w:tcW w:w="700" w:type="dxa"/>
            <w:tcBorders/>
            <w:shd w:fill="CCEEFF" w:val="clear"/>
            <w:vAlign w:val="center"/>
          </w:tcPr>
          <w:p>
            <w:pPr>
              <w:pStyle w:val="TableContents"/>
              <w:bidi w:val="0"/>
              <w:spacing w:lineRule="auto" w:line="285" w:before="1" w:after="1"/>
              <w:ind w:left="0" w:right="0" w:hanging="0"/>
              <w:jc w:val="right"/>
              <w:rPr>
                <w:rFonts w:ascii="Times New Roman;Times;serif" w:hAnsi="Times New Roman;Times;serif"/>
                <w:sz w:val="20"/>
              </w:rPr>
            </w:pPr>
            <w:r>
              <w:rPr>
                <w:rFonts w:ascii="Times New Roman;Times;serif" w:hAnsi="Times New Roman;Times;serif"/>
                <w:sz w:val="20"/>
              </w:rPr>
              <w:t>(12)</w:t>
            </w:r>
          </w:p>
        </w:tc>
      </w:tr>
      <w:tr>
        <w:trPr/>
        <w:tc>
          <w:tcPr>
            <w:tcW w:w="3689" w:type="dxa"/>
            <w:tcBorders/>
            <w:vAlign w:val="center"/>
          </w:tcPr>
          <w:p>
            <w:pPr>
              <w:pStyle w:val="TableContents"/>
              <w:bidi w:val="0"/>
              <w:spacing w:lineRule="auto" w:line="285" w:before="1" w:after="1"/>
              <w:ind w:left="0" w:right="0" w:hanging="0"/>
              <w:jc w:val="left"/>
              <w:rPr>
                <w:rFonts w:ascii="Times New Roman;Times;serif" w:hAnsi="Times New Roman;Times;serif"/>
                <w:sz w:val="20"/>
              </w:rPr>
            </w:pPr>
            <w:r>
              <w:rPr>
                <w:rFonts w:ascii="Times New Roman;Times;serif" w:hAnsi="Times New Roman;Times;serif"/>
                <w:sz w:val="20"/>
              </w:rPr>
              <w:t>Stock-based compensation </w:t>
            </w:r>
          </w:p>
        </w:tc>
        <w:tc>
          <w:tcPr>
            <w:tcW w:w="346" w:type="dxa"/>
            <w:tcBorders/>
            <w:vAlign w:val="center"/>
          </w:tcPr>
          <w:p>
            <w:pPr>
              <w:pStyle w:val="TableContents"/>
              <w:bidi w:val="0"/>
              <w:spacing w:lineRule="auto" w:line="285" w:before="0" w:after="0"/>
              <w:ind w:left="0" w:right="0" w:hanging="0"/>
              <w:jc w:val="left"/>
              <w:rPr/>
            </w:pPr>
            <w:r>
              <w:rPr/>
              <w:t>​</w:t>
            </w:r>
          </w:p>
        </w:tc>
        <w:tc>
          <w:tcPr>
            <w:tcW w:w="931" w:type="dxa"/>
            <w:tcBorders/>
            <w:vAlign w:val="center"/>
          </w:tcPr>
          <w:p>
            <w:pPr>
              <w:pStyle w:val="TableContents"/>
              <w:bidi w:val="0"/>
              <w:spacing w:lineRule="auto" w:line="285" w:before="1" w:after="1"/>
              <w:ind w:left="0" w:right="0" w:hanging="0"/>
              <w:jc w:val="righ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290" w:type="dxa"/>
            <w:tcBorders/>
            <w:vAlign w:val="center"/>
          </w:tcPr>
          <w:p>
            <w:pPr>
              <w:pStyle w:val="TableContents"/>
              <w:bidi w:val="0"/>
              <w:spacing w:lineRule="auto" w:line="285" w:before="0" w:after="0"/>
              <w:ind w:left="0" w:right="0" w:hanging="0"/>
              <w:jc w:val="left"/>
              <w:rPr/>
            </w:pPr>
            <w:r>
              <w:rPr/>
              <w:t>​</w:t>
            </w:r>
          </w:p>
        </w:tc>
        <w:tc>
          <w:tcPr>
            <w:tcW w:w="476" w:type="dxa"/>
            <w:tcBorders/>
            <w:vAlign w:val="center"/>
          </w:tcPr>
          <w:p>
            <w:pPr>
              <w:pStyle w:val="TableContents"/>
              <w:bidi w:val="0"/>
              <w:spacing w:lineRule="auto" w:line="285" w:before="1" w:after="1"/>
              <w:ind w:left="0" w:right="0" w:hanging="0"/>
              <w:jc w:val="righ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pPr>
            <w:r>
              <w:rPr/>
              <w:t>​</w:t>
            </w:r>
          </w:p>
        </w:tc>
        <w:tc>
          <w:tcPr>
            <w:tcW w:w="781" w:type="dxa"/>
            <w:tcBorders/>
            <w:vAlign w:val="center"/>
          </w:tcPr>
          <w:p>
            <w:pPr>
              <w:pStyle w:val="TableContents"/>
              <w:bidi w:val="0"/>
              <w:spacing w:lineRule="auto" w:line="285" w:before="1" w:after="1"/>
              <w:ind w:left="0" w:right="0" w:hanging="0"/>
              <w:jc w:val="right"/>
              <w:rPr>
                <w:rFonts w:ascii="Times New Roman;Times;serif" w:hAnsi="Times New Roman;Times;serif"/>
                <w:sz w:val="20"/>
              </w:rPr>
            </w:pPr>
            <w:r>
              <w:rPr>
                <w:rFonts w:ascii="Times New Roman;Times;serif" w:hAnsi="Times New Roman;Times;serif"/>
                <w:sz w:val="20"/>
              </w:rPr>
              <w:t>132</w:t>
            </w:r>
          </w:p>
        </w:tc>
        <w:tc>
          <w:tcPr>
            <w:tcW w:w="346" w:type="dxa"/>
            <w:tcBorders/>
            <w:vAlign w:val="center"/>
          </w:tcPr>
          <w:p>
            <w:pPr>
              <w:pStyle w:val="TableContents"/>
              <w:bidi w:val="0"/>
              <w:spacing w:lineRule="auto" w:line="285" w:before="0" w:after="0"/>
              <w:ind w:left="0" w:right="0" w:hanging="0"/>
              <w:jc w:val="left"/>
              <w:rPr/>
            </w:pPr>
            <w:r>
              <w:rPr/>
              <w:t>​</w:t>
            </w:r>
          </w:p>
        </w:tc>
        <w:tc>
          <w:tcPr>
            <w:tcW w:w="237" w:type="dxa"/>
            <w:tcBorders/>
            <w:vAlign w:val="center"/>
          </w:tcPr>
          <w:p>
            <w:pPr>
              <w:pStyle w:val="TableContents"/>
              <w:bidi w:val="0"/>
              <w:spacing w:lineRule="auto" w:line="285" w:before="0" w:after="0"/>
              <w:ind w:left="0" w:right="0" w:hanging="0"/>
              <w:jc w:val="left"/>
              <w:rPr/>
            </w:pPr>
            <w:r>
              <w:rPr/>
              <w:t>​</w:t>
            </w:r>
          </w:p>
        </w:tc>
        <w:tc>
          <w:tcPr>
            <w:tcW w:w="949" w:type="dxa"/>
            <w:tcBorders/>
            <w:vAlign w:val="center"/>
          </w:tcPr>
          <w:p>
            <w:pPr>
              <w:pStyle w:val="TableContents"/>
              <w:bidi w:val="0"/>
              <w:spacing w:lineRule="auto" w:line="285" w:before="1" w:after="1"/>
              <w:ind w:left="0" w:right="0" w:hanging="0"/>
              <w:jc w:val="righ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pPr>
            <w:r>
              <w:rPr/>
              <w:t>​</w:t>
            </w:r>
          </w:p>
        </w:tc>
        <w:tc>
          <w:tcPr>
            <w:tcW w:w="700" w:type="dxa"/>
            <w:tcBorders/>
            <w:vAlign w:val="center"/>
          </w:tcPr>
          <w:p>
            <w:pPr>
              <w:pStyle w:val="TableContents"/>
              <w:bidi w:val="0"/>
              <w:spacing w:lineRule="auto" w:line="285" w:before="1" w:after="1"/>
              <w:ind w:left="0" w:right="0" w:hanging="0"/>
              <w:jc w:val="right"/>
              <w:rPr>
                <w:rFonts w:ascii="Times New Roman;Times;serif" w:hAnsi="Times New Roman;Times;serif"/>
                <w:sz w:val="20"/>
              </w:rPr>
            </w:pPr>
            <w:r>
              <w:rPr>
                <w:rFonts w:ascii="Times New Roman;Times;serif" w:hAnsi="Times New Roman;Times;serif"/>
                <w:sz w:val="20"/>
              </w:rPr>
              <w:t>132</w:t>
            </w:r>
          </w:p>
        </w:tc>
      </w:tr>
      <w:tr>
        <w:trPr/>
        <w:tc>
          <w:tcPr>
            <w:tcW w:w="3689" w:type="dxa"/>
            <w:tcBorders>
              <w:bottom w:val="single" w:sz="2" w:space="0" w:color="000000"/>
            </w:tcBorders>
            <w:shd w:fill="CCEEFF" w:val="clear"/>
            <w:tcMar>
              <w:bottom w:w="28" w:type="dxa"/>
            </w:tcMar>
            <w:vAlign w:val="center"/>
          </w:tcPr>
          <w:p>
            <w:pPr>
              <w:pStyle w:val="TableContents"/>
              <w:bidi w:val="0"/>
              <w:spacing w:lineRule="auto" w:line="285" w:before="1" w:after="1"/>
              <w:ind w:left="0" w:right="0" w:hanging="0"/>
              <w:jc w:val="left"/>
              <w:rPr>
                <w:rFonts w:ascii="Times New Roman;Times;serif" w:hAnsi="Times New Roman;Times;serif"/>
                <w:sz w:val="20"/>
              </w:rPr>
            </w:pPr>
            <w:r>
              <w:rPr>
                <w:rFonts w:ascii="Times New Roman;Times;serif" w:hAnsi="Times New Roman;Times;serif"/>
                <w:sz w:val="20"/>
              </w:rPr>
              <w:t>Net loss</w:t>
            </w:r>
          </w:p>
        </w:tc>
        <w:tc>
          <w:tcPr>
            <w:tcW w:w="34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931" w:type="dxa"/>
            <w:tcBorders>
              <w:bottom w:val="single" w:sz="2" w:space="0" w:color="000000"/>
            </w:tcBorders>
            <w:shd w:fill="CCEEFF" w:val="clear"/>
            <w:tcMar>
              <w:bottom w:w="28" w:type="dxa"/>
            </w:tcMar>
            <w:vAlign w:val="center"/>
          </w:tcPr>
          <w:p>
            <w:pPr>
              <w:pStyle w:val="TableContents"/>
              <w:bidi w:val="0"/>
              <w:spacing w:lineRule="auto" w:line="285" w:before="1" w:after="1"/>
              <w:ind w:left="0" w:right="0" w:hanging="0"/>
              <w:jc w:val="right"/>
              <w:rPr/>
            </w:pPr>
            <w:r>
              <w:rPr/>
              <w:t>—</w:t>
            </w:r>
          </w:p>
        </w:tc>
        <w:tc>
          <w:tcPr>
            <w:tcW w:w="34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290"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476" w:type="dxa"/>
            <w:tcBorders>
              <w:bottom w:val="single" w:sz="2" w:space="0" w:color="000000"/>
            </w:tcBorders>
            <w:shd w:fill="CCEEFF" w:val="clear"/>
            <w:tcMar>
              <w:bottom w:w="28" w:type="dxa"/>
            </w:tcMar>
            <w:vAlign w:val="center"/>
          </w:tcPr>
          <w:p>
            <w:pPr>
              <w:pStyle w:val="TableContents"/>
              <w:bidi w:val="0"/>
              <w:spacing w:lineRule="auto" w:line="285" w:before="1" w:after="1"/>
              <w:ind w:left="0" w:right="0" w:hanging="0"/>
              <w:jc w:val="right"/>
              <w:rPr/>
            </w:pPr>
            <w:r>
              <w:rPr/>
              <w:t>—</w:t>
            </w:r>
          </w:p>
        </w:tc>
        <w:tc>
          <w:tcPr>
            <w:tcW w:w="34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lineRule="auto" w:line="285" w:before="1" w:after="1"/>
              <w:ind w:left="0" w:right="0" w:hanging="0"/>
              <w:jc w:val="right"/>
              <w:rPr/>
            </w:pPr>
            <w:r>
              <w:rPr/>
              <w:t>—</w:t>
            </w:r>
          </w:p>
        </w:tc>
        <w:tc>
          <w:tcPr>
            <w:tcW w:w="34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237"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949" w:type="dxa"/>
            <w:tcBorders>
              <w:bottom w:val="single" w:sz="2" w:space="0" w:color="000000"/>
            </w:tcBorders>
            <w:shd w:fill="CCEEFF" w:val="clear"/>
            <w:tcMar>
              <w:bottom w:w="28" w:type="dxa"/>
            </w:tcMar>
            <w:vAlign w:val="center"/>
          </w:tcPr>
          <w:p>
            <w:pPr>
              <w:pStyle w:val="TableContents"/>
              <w:bidi w:val="0"/>
              <w:spacing w:lineRule="auto" w:line="285" w:before="1" w:after="1"/>
              <w:ind w:left="0" w:right="0" w:hanging="0"/>
              <w:jc w:val="right"/>
              <w:rPr>
                <w:rFonts w:ascii="Times New Roman;Times;serif" w:hAnsi="Times New Roman;Times;serif"/>
                <w:sz w:val="20"/>
              </w:rPr>
            </w:pPr>
            <w:r>
              <w:rPr>
                <w:rFonts w:ascii="Times New Roman;Times;serif" w:hAnsi="Times New Roman;Times;serif"/>
                <w:sz w:val="20"/>
              </w:rPr>
              <w:t>(3,671)</w:t>
            </w:r>
          </w:p>
        </w:tc>
        <w:tc>
          <w:tcPr>
            <w:tcW w:w="34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700" w:type="dxa"/>
            <w:tcBorders>
              <w:bottom w:val="single" w:sz="2" w:space="0" w:color="000000"/>
            </w:tcBorders>
            <w:shd w:fill="CCEEFF" w:val="clear"/>
            <w:tcMar>
              <w:bottom w:w="28" w:type="dxa"/>
            </w:tcMar>
            <w:vAlign w:val="center"/>
          </w:tcPr>
          <w:p>
            <w:pPr>
              <w:pStyle w:val="TableContents"/>
              <w:bidi w:val="0"/>
              <w:spacing w:lineRule="auto" w:line="285" w:before="1" w:after="1"/>
              <w:ind w:left="0" w:right="0" w:hanging="0"/>
              <w:jc w:val="right"/>
              <w:rPr>
                <w:rFonts w:ascii="Times New Roman;Times;serif" w:hAnsi="Times New Roman;Times;serif"/>
                <w:sz w:val="20"/>
              </w:rPr>
            </w:pPr>
            <w:r>
              <w:rPr>
                <w:rFonts w:ascii="Times New Roman;Times;serif" w:hAnsi="Times New Roman;Times;serif"/>
                <w:sz w:val="20"/>
              </w:rPr>
              <w:t>(3,671)</w:t>
            </w:r>
          </w:p>
        </w:tc>
      </w:tr>
      <w:tr>
        <w:trPr/>
        <w:tc>
          <w:tcPr>
            <w:tcW w:w="3689" w:type="dxa"/>
            <w:tcBorders/>
            <w:vAlign w:val="center"/>
          </w:tcPr>
          <w:p>
            <w:pPr>
              <w:pStyle w:val="TableContents"/>
              <w:bidi w:val="0"/>
              <w:spacing w:lineRule="auto" w:line="285" w:before="1" w:after="1"/>
              <w:ind w:left="0" w:right="0" w:hanging="0"/>
              <w:jc w:val="left"/>
              <w:rPr>
                <w:rFonts w:ascii="Times New Roman;Times;serif" w:hAnsi="Times New Roman;Times;serif"/>
                <w:sz w:val="20"/>
              </w:rPr>
            </w:pPr>
            <w:r>
              <w:rPr>
                <w:rFonts w:ascii="Times New Roman;Times;serif" w:hAnsi="Times New Roman;Times;serif"/>
                <w:sz w:val="20"/>
              </w:rPr>
              <w:t>As of March 31, 2025</w:t>
            </w:r>
          </w:p>
        </w:tc>
        <w:tc>
          <w:tcPr>
            <w:tcW w:w="346" w:type="dxa"/>
            <w:tcBorders/>
            <w:vAlign w:val="center"/>
          </w:tcPr>
          <w:p>
            <w:pPr>
              <w:pStyle w:val="TableContents"/>
              <w:bidi w:val="0"/>
              <w:spacing w:lineRule="auto" w:line="285" w:before="0" w:after="0"/>
              <w:ind w:left="0" w:right="0" w:hanging="0"/>
              <w:jc w:val="left"/>
              <w:rPr/>
            </w:pPr>
            <w:r>
              <w:rPr/>
              <w:t>​</w:t>
            </w:r>
          </w:p>
        </w:tc>
        <w:tc>
          <w:tcPr>
            <w:tcW w:w="931" w:type="dxa"/>
            <w:tcBorders/>
            <w:vAlign w:val="center"/>
          </w:tcPr>
          <w:p>
            <w:pPr>
              <w:pStyle w:val="TableContents"/>
              <w:bidi w:val="0"/>
              <w:spacing w:lineRule="auto" w:line="285" w:before="1" w:after="1"/>
              <w:ind w:left="0" w:right="0" w:hanging="0"/>
              <w:jc w:val="right"/>
              <w:rPr>
                <w:rFonts w:ascii="Times New Roman;Times;serif" w:hAnsi="Times New Roman;Times;serif"/>
                <w:sz w:val="20"/>
              </w:rPr>
            </w:pPr>
            <w:r>
              <w:rPr>
                <w:rFonts w:ascii="Times New Roman;Times;serif" w:hAnsi="Times New Roman;Times;serif"/>
                <w:sz w:val="20"/>
              </w:rPr>
              <w:t>786,806</w:t>
            </w:r>
          </w:p>
        </w:tc>
        <w:tc>
          <w:tcPr>
            <w:tcW w:w="346" w:type="dxa"/>
            <w:tcBorders/>
            <w:vAlign w:val="center"/>
          </w:tcPr>
          <w:p>
            <w:pPr>
              <w:pStyle w:val="TableContents"/>
              <w:bidi w:val="0"/>
              <w:spacing w:lineRule="auto" w:line="285" w:before="0" w:after="0"/>
              <w:ind w:left="0" w:right="0" w:hanging="0"/>
              <w:jc w:val="left"/>
              <w:rPr/>
            </w:pPr>
            <w:r>
              <w:rPr/>
              <w:t>​</w:t>
            </w:r>
          </w:p>
        </w:tc>
        <w:tc>
          <w:tcPr>
            <w:tcW w:w="290" w:type="dxa"/>
            <w:tcBorders/>
            <w:vAlign w:val="center"/>
          </w:tcPr>
          <w:p>
            <w:pPr>
              <w:pStyle w:val="TableContents"/>
              <w:bidi w:val="0"/>
              <w:spacing w:lineRule="auto" w:line="285" w:before="0" w:after="0"/>
              <w:ind w:left="0" w:right="0" w:hanging="0"/>
              <w:jc w:val="left"/>
              <w:rPr/>
            </w:pPr>
            <w:r>
              <w:rPr/>
              <w:t>​</w:t>
            </w:r>
          </w:p>
        </w:tc>
        <w:tc>
          <w:tcPr>
            <w:tcW w:w="476" w:type="dxa"/>
            <w:tcBorders/>
            <w:vAlign w:val="center"/>
          </w:tcPr>
          <w:p>
            <w:pPr>
              <w:pStyle w:val="TableContents"/>
              <w:bidi w:val="0"/>
              <w:spacing w:lineRule="auto" w:line="285" w:before="1" w:after="1"/>
              <w:ind w:left="0" w:right="0" w:hanging="0"/>
              <w:jc w:val="right"/>
              <w:rPr>
                <w:rFonts w:ascii="Times New Roman;Times;serif" w:hAnsi="Times New Roman;Times;serif"/>
                <w:sz w:val="20"/>
              </w:rPr>
            </w:pPr>
            <w:r>
              <w:rPr>
                <w:rFonts w:ascii="Times New Roman;Times;serif" w:hAnsi="Times New Roman;Times;serif"/>
                <w:sz w:val="20"/>
              </w:rPr>
              <w:t>1</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pPr>
            <w:r>
              <w:rPr/>
              <w:t>​</w:t>
            </w:r>
          </w:p>
        </w:tc>
        <w:tc>
          <w:tcPr>
            <w:tcW w:w="781" w:type="dxa"/>
            <w:tcBorders/>
            <w:vAlign w:val="center"/>
          </w:tcPr>
          <w:p>
            <w:pPr>
              <w:pStyle w:val="TableContents"/>
              <w:bidi w:val="0"/>
              <w:spacing w:lineRule="auto" w:line="285" w:before="1" w:after="1"/>
              <w:ind w:left="0" w:right="0" w:hanging="0"/>
              <w:jc w:val="right"/>
              <w:rPr>
                <w:rFonts w:ascii="Times New Roman;Times;serif" w:hAnsi="Times New Roman;Times;serif"/>
                <w:sz w:val="20"/>
              </w:rPr>
            </w:pPr>
            <w:r>
              <w:rPr>
                <w:rFonts w:ascii="Times New Roman;Times;serif" w:hAnsi="Times New Roman;Times;serif"/>
                <w:sz w:val="20"/>
              </w:rPr>
              <w:t>143,907</w:t>
            </w:r>
          </w:p>
        </w:tc>
        <w:tc>
          <w:tcPr>
            <w:tcW w:w="346" w:type="dxa"/>
            <w:tcBorders/>
            <w:vAlign w:val="center"/>
          </w:tcPr>
          <w:p>
            <w:pPr>
              <w:pStyle w:val="TableContents"/>
              <w:bidi w:val="0"/>
              <w:spacing w:lineRule="auto" w:line="285" w:before="0" w:after="0"/>
              <w:ind w:left="0" w:right="0" w:hanging="0"/>
              <w:jc w:val="left"/>
              <w:rPr/>
            </w:pPr>
            <w:r>
              <w:rPr/>
              <w:t>​</w:t>
            </w:r>
          </w:p>
        </w:tc>
        <w:tc>
          <w:tcPr>
            <w:tcW w:w="237" w:type="dxa"/>
            <w:tcBorders/>
            <w:vAlign w:val="center"/>
          </w:tcPr>
          <w:p>
            <w:pPr>
              <w:pStyle w:val="TableContents"/>
              <w:bidi w:val="0"/>
              <w:spacing w:lineRule="auto" w:line="285" w:before="0" w:after="0"/>
              <w:ind w:left="0" w:right="0" w:hanging="0"/>
              <w:jc w:val="left"/>
              <w:rPr/>
            </w:pPr>
            <w:r>
              <w:rPr/>
              <w:t>​</w:t>
            </w:r>
          </w:p>
        </w:tc>
        <w:tc>
          <w:tcPr>
            <w:tcW w:w="949" w:type="dxa"/>
            <w:tcBorders/>
            <w:vAlign w:val="center"/>
          </w:tcPr>
          <w:p>
            <w:pPr>
              <w:pStyle w:val="TableContents"/>
              <w:bidi w:val="0"/>
              <w:spacing w:lineRule="auto" w:line="285" w:before="1" w:after="1"/>
              <w:ind w:left="0" w:right="0" w:hanging="0"/>
              <w:jc w:val="right"/>
              <w:rPr>
                <w:rFonts w:ascii="Times New Roman;Times;serif" w:hAnsi="Times New Roman;Times;serif"/>
                <w:sz w:val="20"/>
              </w:rPr>
            </w:pPr>
            <w:r>
              <w:rPr>
                <w:rFonts w:ascii="Times New Roman;Times;serif" w:hAnsi="Times New Roman;Times;serif"/>
                <w:sz w:val="20"/>
              </w:rPr>
              <w:t>(139,528)</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pPr>
            <w:r>
              <w:rPr/>
              <w:t>​</w:t>
            </w:r>
          </w:p>
        </w:tc>
        <w:tc>
          <w:tcPr>
            <w:tcW w:w="700" w:type="dxa"/>
            <w:tcBorders/>
            <w:vAlign w:val="center"/>
          </w:tcPr>
          <w:p>
            <w:pPr>
              <w:pStyle w:val="TableContents"/>
              <w:bidi w:val="0"/>
              <w:spacing w:lineRule="auto" w:line="285" w:before="1" w:after="1"/>
              <w:ind w:left="0" w:right="0" w:hanging="0"/>
              <w:jc w:val="right"/>
              <w:rPr>
                <w:rFonts w:ascii="Times New Roman;Times;serif" w:hAnsi="Times New Roman;Times;serif"/>
                <w:sz w:val="20"/>
              </w:rPr>
            </w:pPr>
            <w:r>
              <w:rPr>
                <w:rFonts w:ascii="Times New Roman;Times;serif" w:hAnsi="Times New Roman;Times;serif"/>
                <w:sz w:val="20"/>
              </w:rPr>
              <w:t>4,380</w:t>
            </w:r>
          </w:p>
        </w:tc>
      </w:tr>
      <w:tr>
        <w:trPr/>
        <w:tc>
          <w:tcPr>
            <w:tcW w:w="3689" w:type="dxa"/>
            <w:tcBorders/>
            <w:shd w:fill="CCEEFF" w:val="clear"/>
            <w:vAlign w:val="center"/>
          </w:tcPr>
          <w:p>
            <w:pPr>
              <w:pStyle w:val="TableContents"/>
              <w:bidi w:val="0"/>
              <w:spacing w:lineRule="auto" w:line="285" w:before="1" w:after="1"/>
              <w:ind w:left="0" w:right="0" w:hanging="0"/>
              <w:jc w:val="left"/>
              <w:rPr>
                <w:rFonts w:ascii="Times New Roman;Times;serif" w:hAnsi="Times New Roman;Times;serif"/>
                <w:sz w:val="20"/>
              </w:rPr>
            </w:pPr>
            <w:r>
              <w:rPr>
                <w:rFonts w:ascii="Times New Roman;Times;serif" w:hAnsi="Times New Roman;Times;serif"/>
                <w:sz w:val="20"/>
              </w:rPr>
              <w:t>Issuance of common stock and pre-funded warrants, net of issuance costs of $874</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931" w:type="dxa"/>
            <w:tcBorders/>
            <w:shd w:fill="CCEEFF" w:val="clear"/>
            <w:vAlign w:val="center"/>
          </w:tcPr>
          <w:p>
            <w:pPr>
              <w:pStyle w:val="TableContents"/>
              <w:bidi w:val="0"/>
              <w:spacing w:lineRule="auto" w:line="285" w:before="1" w:after="1"/>
              <w:ind w:left="0" w:right="0" w:hanging="0"/>
              <w:jc w:val="right"/>
              <w:rPr>
                <w:rFonts w:ascii="Times New Roman;Times;serif" w:hAnsi="Times New Roman;Times;serif"/>
                <w:sz w:val="20"/>
              </w:rPr>
            </w:pPr>
            <w:r>
              <w:rPr>
                <w:rFonts w:ascii="Times New Roman;Times;serif" w:hAnsi="Times New Roman;Times;serif"/>
                <w:sz w:val="20"/>
              </w:rPr>
              <w:t>861,759</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90" w:type="dxa"/>
            <w:tcBorders/>
            <w:shd w:fill="CCEEFF" w:val="clear"/>
            <w:vAlign w:val="center"/>
          </w:tcPr>
          <w:p>
            <w:pPr>
              <w:pStyle w:val="TableContents"/>
              <w:bidi w:val="0"/>
              <w:spacing w:lineRule="auto" w:line="285" w:before="0" w:after="0"/>
              <w:ind w:left="0" w:right="0" w:hanging="0"/>
              <w:jc w:val="left"/>
              <w:rPr/>
            </w:pPr>
            <w:r>
              <w:rPr/>
              <w:t>​</w:t>
            </w:r>
          </w:p>
        </w:tc>
        <w:tc>
          <w:tcPr>
            <w:tcW w:w="476" w:type="dxa"/>
            <w:tcBorders/>
            <w:shd w:fill="CCEEFF" w:val="clear"/>
            <w:vAlign w:val="center"/>
          </w:tcPr>
          <w:p>
            <w:pPr>
              <w:pStyle w:val="TableContents"/>
              <w:bidi w:val="0"/>
              <w:spacing w:lineRule="auto" w:line="285" w:before="1" w:after="1"/>
              <w:ind w:left="0" w:right="0" w:hanging="0"/>
              <w:jc w:val="right"/>
              <w:rPr>
                <w:rFonts w:ascii="Times New Roman;Times;serif" w:hAnsi="Times New Roman;Times;serif"/>
                <w:sz w:val="20"/>
              </w:rPr>
            </w:pPr>
            <w:r>
              <w:rPr>
                <w:rFonts w:ascii="Times New Roman;Times;serif" w:hAnsi="Times New Roman;Times;serif"/>
                <w:sz w:val="20"/>
              </w:rPr>
              <w:t>1</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pPr>
            <w:r>
              <w:rPr/>
              <w:t>​</w:t>
            </w:r>
          </w:p>
        </w:tc>
        <w:tc>
          <w:tcPr>
            <w:tcW w:w="781" w:type="dxa"/>
            <w:tcBorders/>
            <w:shd w:fill="CCEEFF" w:val="clear"/>
            <w:vAlign w:val="center"/>
          </w:tcPr>
          <w:p>
            <w:pPr>
              <w:pStyle w:val="TableContents"/>
              <w:bidi w:val="0"/>
              <w:spacing w:lineRule="auto" w:line="285" w:before="1" w:after="1"/>
              <w:ind w:left="0" w:right="0" w:hanging="0"/>
              <w:jc w:val="right"/>
              <w:rPr>
                <w:rFonts w:ascii="Times New Roman;Times;serif" w:hAnsi="Times New Roman;Times;serif"/>
                <w:sz w:val="20"/>
              </w:rPr>
            </w:pPr>
            <w:r>
              <w:rPr>
                <w:rFonts w:ascii="Times New Roman;Times;serif" w:hAnsi="Times New Roman;Times;serif"/>
                <w:sz w:val="20"/>
              </w:rPr>
              <w:t>9,121</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37" w:type="dxa"/>
            <w:tcBorders/>
            <w:shd w:fill="CCEEFF" w:val="clear"/>
            <w:vAlign w:val="center"/>
          </w:tcPr>
          <w:p>
            <w:pPr>
              <w:pStyle w:val="TableContents"/>
              <w:bidi w:val="0"/>
              <w:spacing w:lineRule="auto" w:line="285" w:before="0" w:after="0"/>
              <w:ind w:left="0" w:right="0" w:hanging="0"/>
              <w:jc w:val="left"/>
              <w:rPr/>
            </w:pPr>
            <w:r>
              <w:rPr/>
              <w:t>​</w:t>
            </w:r>
          </w:p>
        </w:tc>
        <w:tc>
          <w:tcPr>
            <w:tcW w:w="949" w:type="dxa"/>
            <w:tcBorders/>
            <w:shd w:fill="CCEEFF" w:val="clear"/>
            <w:vAlign w:val="center"/>
          </w:tcPr>
          <w:p>
            <w:pPr>
              <w:pStyle w:val="TableContents"/>
              <w:bidi w:val="0"/>
              <w:spacing w:lineRule="auto" w:line="285" w:before="1" w:after="1"/>
              <w:ind w:left="0" w:right="0" w:hanging="0"/>
              <w:jc w:val="righ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pPr>
            <w:r>
              <w:rPr/>
              <w:t>​</w:t>
            </w:r>
          </w:p>
        </w:tc>
        <w:tc>
          <w:tcPr>
            <w:tcW w:w="700" w:type="dxa"/>
            <w:tcBorders/>
            <w:shd w:fill="CCEEFF" w:val="clear"/>
            <w:vAlign w:val="center"/>
          </w:tcPr>
          <w:p>
            <w:pPr>
              <w:pStyle w:val="TableContents"/>
              <w:bidi w:val="0"/>
              <w:spacing w:lineRule="auto" w:line="285" w:before="1" w:after="1"/>
              <w:ind w:left="0" w:right="0" w:hanging="0"/>
              <w:jc w:val="right"/>
              <w:rPr>
                <w:rFonts w:ascii="Times New Roman;Times;serif" w:hAnsi="Times New Roman;Times;serif"/>
                <w:sz w:val="20"/>
              </w:rPr>
            </w:pPr>
            <w:r>
              <w:rPr>
                <w:rFonts w:ascii="Times New Roman;Times;serif" w:hAnsi="Times New Roman;Times;serif"/>
                <w:sz w:val="20"/>
              </w:rPr>
              <w:t>9,122</w:t>
            </w:r>
          </w:p>
        </w:tc>
      </w:tr>
      <w:tr>
        <w:trPr/>
        <w:tc>
          <w:tcPr>
            <w:tcW w:w="3689" w:type="dxa"/>
            <w:tcBorders/>
            <w:vAlign w:val="center"/>
          </w:tcPr>
          <w:p>
            <w:pPr>
              <w:pStyle w:val="TableContents"/>
              <w:bidi w:val="0"/>
              <w:spacing w:lineRule="auto" w:line="285" w:before="1" w:after="1"/>
              <w:ind w:left="0" w:right="0" w:hanging="0"/>
              <w:jc w:val="left"/>
              <w:rPr>
                <w:rFonts w:ascii="Times New Roman;Times;serif" w:hAnsi="Times New Roman;Times;serif"/>
                <w:sz w:val="20"/>
              </w:rPr>
            </w:pPr>
            <w:r>
              <w:rPr>
                <w:rFonts w:ascii="Times New Roman;Times;serif" w:hAnsi="Times New Roman;Times;serif"/>
                <w:sz w:val="20"/>
              </w:rPr>
              <w:t>Issuance of common stock for exercise of warrants</w:t>
            </w:r>
          </w:p>
        </w:tc>
        <w:tc>
          <w:tcPr>
            <w:tcW w:w="346" w:type="dxa"/>
            <w:tcBorders/>
            <w:vAlign w:val="center"/>
          </w:tcPr>
          <w:p>
            <w:pPr>
              <w:pStyle w:val="TableContents"/>
              <w:bidi w:val="0"/>
              <w:spacing w:lineRule="auto" w:line="285" w:before="0" w:after="0"/>
              <w:ind w:left="0" w:right="0" w:hanging="0"/>
              <w:jc w:val="left"/>
              <w:rPr/>
            </w:pPr>
            <w:r>
              <w:rPr/>
              <w:t>​</w:t>
            </w:r>
          </w:p>
        </w:tc>
        <w:tc>
          <w:tcPr>
            <w:tcW w:w="931" w:type="dxa"/>
            <w:tcBorders/>
            <w:vAlign w:val="center"/>
          </w:tcPr>
          <w:p>
            <w:pPr>
              <w:pStyle w:val="TableContents"/>
              <w:bidi w:val="0"/>
              <w:spacing w:lineRule="auto" w:line="285" w:before="1" w:after="1"/>
              <w:ind w:left="0" w:right="0" w:hanging="0"/>
              <w:jc w:val="right"/>
              <w:rPr>
                <w:rFonts w:ascii="Times New Roman;Times;serif" w:hAnsi="Times New Roman;Times;serif"/>
                <w:sz w:val="20"/>
              </w:rPr>
            </w:pPr>
            <w:r>
              <w:rPr>
                <w:rFonts w:ascii="Times New Roman;Times;serif" w:hAnsi="Times New Roman;Times;serif"/>
                <w:sz w:val="20"/>
              </w:rPr>
              <w:t>548,651</w:t>
            </w:r>
          </w:p>
        </w:tc>
        <w:tc>
          <w:tcPr>
            <w:tcW w:w="346" w:type="dxa"/>
            <w:tcBorders/>
            <w:vAlign w:val="center"/>
          </w:tcPr>
          <w:p>
            <w:pPr>
              <w:pStyle w:val="TableContents"/>
              <w:bidi w:val="0"/>
              <w:spacing w:lineRule="auto" w:line="285" w:before="0" w:after="0"/>
              <w:ind w:left="0" w:right="0" w:hanging="0"/>
              <w:jc w:val="left"/>
              <w:rPr/>
            </w:pPr>
            <w:r>
              <w:rPr/>
              <w:t>​</w:t>
            </w:r>
          </w:p>
        </w:tc>
        <w:tc>
          <w:tcPr>
            <w:tcW w:w="290" w:type="dxa"/>
            <w:tcBorders/>
            <w:vAlign w:val="center"/>
          </w:tcPr>
          <w:p>
            <w:pPr>
              <w:pStyle w:val="TableContents"/>
              <w:bidi w:val="0"/>
              <w:spacing w:lineRule="auto" w:line="285" w:before="0" w:after="0"/>
              <w:ind w:left="0" w:right="0" w:hanging="0"/>
              <w:jc w:val="left"/>
              <w:rPr/>
            </w:pPr>
            <w:r>
              <w:rPr/>
              <w:t>​</w:t>
            </w:r>
          </w:p>
        </w:tc>
        <w:tc>
          <w:tcPr>
            <w:tcW w:w="476" w:type="dxa"/>
            <w:tcBorders/>
            <w:vAlign w:val="center"/>
          </w:tcPr>
          <w:p>
            <w:pPr>
              <w:pStyle w:val="TableContents"/>
              <w:bidi w:val="0"/>
              <w:spacing w:lineRule="auto" w:line="285" w:before="1" w:after="1"/>
              <w:ind w:left="0" w:right="0" w:hanging="0"/>
              <w:jc w:val="righ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pPr>
            <w:r>
              <w:rPr/>
              <w:t>​</w:t>
            </w:r>
          </w:p>
        </w:tc>
        <w:tc>
          <w:tcPr>
            <w:tcW w:w="781" w:type="dxa"/>
            <w:tcBorders/>
            <w:vAlign w:val="center"/>
          </w:tcPr>
          <w:p>
            <w:pPr>
              <w:pStyle w:val="TableContents"/>
              <w:bidi w:val="0"/>
              <w:spacing w:lineRule="auto" w:line="285" w:before="1" w:after="1"/>
              <w:ind w:left="0" w:right="0" w:hanging="0"/>
              <w:jc w:val="right"/>
              <w:rPr>
                <w:rFonts w:ascii="Times New Roman;Times;serif" w:hAnsi="Times New Roman;Times;serif"/>
                <w:sz w:val="20"/>
              </w:rPr>
            </w:pPr>
            <w:r>
              <w:rPr>
                <w:rFonts w:ascii="Times New Roman;Times;serif" w:hAnsi="Times New Roman;Times;serif"/>
                <w:sz w:val="20"/>
              </w:rPr>
              <w:t>6</w:t>
            </w:r>
          </w:p>
        </w:tc>
        <w:tc>
          <w:tcPr>
            <w:tcW w:w="346" w:type="dxa"/>
            <w:tcBorders/>
            <w:vAlign w:val="center"/>
          </w:tcPr>
          <w:p>
            <w:pPr>
              <w:pStyle w:val="TableContents"/>
              <w:bidi w:val="0"/>
              <w:spacing w:lineRule="auto" w:line="285" w:before="0" w:after="0"/>
              <w:ind w:left="0" w:right="0" w:hanging="0"/>
              <w:jc w:val="left"/>
              <w:rPr/>
            </w:pPr>
            <w:r>
              <w:rPr/>
              <w:t>​</w:t>
            </w:r>
          </w:p>
        </w:tc>
        <w:tc>
          <w:tcPr>
            <w:tcW w:w="237" w:type="dxa"/>
            <w:tcBorders/>
            <w:vAlign w:val="center"/>
          </w:tcPr>
          <w:p>
            <w:pPr>
              <w:pStyle w:val="TableContents"/>
              <w:bidi w:val="0"/>
              <w:spacing w:lineRule="auto" w:line="285" w:before="0" w:after="0"/>
              <w:ind w:left="0" w:right="0" w:hanging="0"/>
              <w:jc w:val="left"/>
              <w:rPr/>
            </w:pPr>
            <w:r>
              <w:rPr/>
              <w:t>​</w:t>
            </w:r>
          </w:p>
        </w:tc>
        <w:tc>
          <w:tcPr>
            <w:tcW w:w="949" w:type="dxa"/>
            <w:tcBorders/>
            <w:vAlign w:val="center"/>
          </w:tcPr>
          <w:p>
            <w:pPr>
              <w:pStyle w:val="TableContents"/>
              <w:bidi w:val="0"/>
              <w:spacing w:lineRule="auto" w:line="285" w:before="1" w:after="1"/>
              <w:ind w:left="0" w:right="0" w:hanging="0"/>
              <w:jc w:val="righ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pPr>
            <w:r>
              <w:rPr/>
              <w:t>​</w:t>
            </w:r>
          </w:p>
        </w:tc>
        <w:tc>
          <w:tcPr>
            <w:tcW w:w="700" w:type="dxa"/>
            <w:tcBorders/>
            <w:vAlign w:val="center"/>
          </w:tcPr>
          <w:p>
            <w:pPr>
              <w:pStyle w:val="TableContents"/>
              <w:bidi w:val="0"/>
              <w:spacing w:lineRule="auto" w:line="285" w:before="1" w:after="1"/>
              <w:ind w:left="0" w:right="0" w:hanging="0"/>
              <w:jc w:val="right"/>
              <w:rPr>
                <w:rFonts w:ascii="Times New Roman;Times;serif" w:hAnsi="Times New Roman;Times;serif"/>
                <w:sz w:val="20"/>
              </w:rPr>
            </w:pPr>
            <w:r>
              <w:rPr>
                <w:rFonts w:ascii="Times New Roman;Times;serif" w:hAnsi="Times New Roman;Times;serif"/>
                <w:sz w:val="20"/>
              </w:rPr>
              <w:t>6</w:t>
            </w:r>
          </w:p>
        </w:tc>
      </w:tr>
      <w:tr>
        <w:trPr/>
        <w:tc>
          <w:tcPr>
            <w:tcW w:w="3689" w:type="dxa"/>
            <w:tcBorders/>
            <w:shd w:fill="CCEEFF" w:val="clear"/>
            <w:vAlign w:val="center"/>
          </w:tcPr>
          <w:p>
            <w:pPr>
              <w:pStyle w:val="TableContents"/>
              <w:bidi w:val="0"/>
              <w:spacing w:lineRule="auto" w:line="285" w:before="1" w:after="1"/>
              <w:ind w:left="0" w:right="0" w:hanging="0"/>
              <w:jc w:val="left"/>
              <w:rPr>
                <w:rFonts w:ascii="Times New Roman;Times;serif" w:hAnsi="Times New Roman;Times;serif"/>
                <w:sz w:val="20"/>
              </w:rPr>
            </w:pPr>
            <w:r>
              <w:rPr>
                <w:rFonts w:ascii="Times New Roman;Times;serif" w:hAnsi="Times New Roman;Times;serif"/>
                <w:sz w:val="20"/>
              </w:rPr>
              <w:t>Issuance of stock for vested restricted stock units, net of shares withheld for withholding taxes</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931" w:type="dxa"/>
            <w:tcBorders/>
            <w:shd w:fill="CCEEFF" w:val="clear"/>
            <w:vAlign w:val="center"/>
          </w:tcPr>
          <w:p>
            <w:pPr>
              <w:pStyle w:val="TableContents"/>
              <w:bidi w:val="0"/>
              <w:spacing w:lineRule="auto" w:line="285" w:before="1" w:after="1"/>
              <w:ind w:left="0" w:right="0" w:hanging="0"/>
              <w:jc w:val="right"/>
              <w:rPr>
                <w:rFonts w:ascii="Times New Roman;Times;serif" w:hAnsi="Times New Roman;Times;serif"/>
                <w:sz w:val="20"/>
              </w:rPr>
            </w:pPr>
            <w:r>
              <w:rPr>
                <w:rFonts w:ascii="Times New Roman;Times;serif" w:hAnsi="Times New Roman;Times;serif"/>
                <w:sz w:val="20"/>
              </w:rPr>
              <w:t>2,265</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90" w:type="dxa"/>
            <w:tcBorders/>
            <w:shd w:fill="CCEEFF" w:val="clear"/>
            <w:vAlign w:val="center"/>
          </w:tcPr>
          <w:p>
            <w:pPr>
              <w:pStyle w:val="TableContents"/>
              <w:bidi w:val="0"/>
              <w:spacing w:lineRule="auto" w:line="285" w:before="0" w:after="0"/>
              <w:ind w:left="0" w:right="0" w:hanging="0"/>
              <w:jc w:val="left"/>
              <w:rPr/>
            </w:pPr>
            <w:r>
              <w:rPr/>
              <w:t>​</w:t>
            </w:r>
          </w:p>
        </w:tc>
        <w:tc>
          <w:tcPr>
            <w:tcW w:w="476" w:type="dxa"/>
            <w:tcBorders/>
            <w:shd w:fill="CCEEFF" w:val="clear"/>
            <w:vAlign w:val="center"/>
          </w:tcPr>
          <w:p>
            <w:pPr>
              <w:pStyle w:val="TableContents"/>
              <w:bidi w:val="0"/>
              <w:spacing w:lineRule="auto" w:line="285" w:before="1" w:after="1"/>
              <w:ind w:left="0" w:right="0" w:hanging="0"/>
              <w:jc w:val="righ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pPr>
            <w:r>
              <w:rPr/>
              <w:t>​</w:t>
            </w:r>
          </w:p>
        </w:tc>
        <w:tc>
          <w:tcPr>
            <w:tcW w:w="781" w:type="dxa"/>
            <w:tcBorders/>
            <w:shd w:fill="CCEEFF" w:val="clear"/>
            <w:vAlign w:val="center"/>
          </w:tcPr>
          <w:p>
            <w:pPr>
              <w:pStyle w:val="TableContents"/>
              <w:bidi w:val="0"/>
              <w:spacing w:lineRule="auto" w:line="285" w:before="1" w:after="1"/>
              <w:ind w:left="0" w:right="0" w:hanging="0"/>
              <w:jc w:val="righ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37" w:type="dxa"/>
            <w:tcBorders/>
            <w:shd w:fill="CCEEFF" w:val="clear"/>
            <w:vAlign w:val="center"/>
          </w:tcPr>
          <w:p>
            <w:pPr>
              <w:pStyle w:val="TableContents"/>
              <w:bidi w:val="0"/>
              <w:spacing w:lineRule="auto" w:line="285" w:before="0" w:after="0"/>
              <w:ind w:left="0" w:right="0" w:hanging="0"/>
              <w:jc w:val="left"/>
              <w:rPr/>
            </w:pPr>
            <w:r>
              <w:rPr/>
              <w:t>​</w:t>
            </w:r>
          </w:p>
        </w:tc>
        <w:tc>
          <w:tcPr>
            <w:tcW w:w="949" w:type="dxa"/>
            <w:tcBorders/>
            <w:shd w:fill="CCEEFF" w:val="clear"/>
            <w:vAlign w:val="center"/>
          </w:tcPr>
          <w:p>
            <w:pPr>
              <w:pStyle w:val="TableContents"/>
              <w:bidi w:val="0"/>
              <w:spacing w:lineRule="auto" w:line="285" w:before="1" w:after="1"/>
              <w:ind w:left="0" w:right="0" w:hanging="0"/>
              <w:jc w:val="righ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pPr>
            <w:r>
              <w:rPr/>
              <w:t>​</w:t>
            </w:r>
          </w:p>
        </w:tc>
        <w:tc>
          <w:tcPr>
            <w:tcW w:w="700" w:type="dxa"/>
            <w:tcBorders/>
            <w:shd w:fill="CCEEFF" w:val="clear"/>
            <w:vAlign w:val="center"/>
          </w:tcPr>
          <w:p>
            <w:pPr>
              <w:pStyle w:val="TableContents"/>
              <w:bidi w:val="0"/>
              <w:spacing w:lineRule="auto" w:line="285" w:before="1" w:after="1"/>
              <w:ind w:left="0" w:right="0" w:hanging="0"/>
              <w:jc w:val="right"/>
              <w:rPr/>
            </w:pPr>
            <w:r>
              <w:rPr/>
              <w:t>—</w:t>
            </w:r>
          </w:p>
        </w:tc>
      </w:tr>
      <w:tr>
        <w:trPr/>
        <w:tc>
          <w:tcPr>
            <w:tcW w:w="3689" w:type="dxa"/>
            <w:tcBorders/>
            <w:vAlign w:val="center"/>
          </w:tcPr>
          <w:p>
            <w:pPr>
              <w:pStyle w:val="TableContents"/>
              <w:bidi w:val="0"/>
              <w:spacing w:lineRule="auto" w:line="285" w:before="1" w:after="1"/>
              <w:ind w:left="0" w:right="0" w:hanging="0"/>
              <w:jc w:val="left"/>
              <w:rPr>
                <w:rFonts w:ascii="Times New Roman;Times;serif" w:hAnsi="Times New Roman;Times;serif"/>
                <w:sz w:val="20"/>
              </w:rPr>
            </w:pPr>
            <w:r>
              <w:rPr>
                <w:rFonts w:ascii="Times New Roman;Times;serif" w:hAnsi="Times New Roman;Times;serif"/>
                <w:sz w:val="20"/>
              </w:rPr>
              <w:t>Stock-based compensation </w:t>
            </w:r>
          </w:p>
        </w:tc>
        <w:tc>
          <w:tcPr>
            <w:tcW w:w="346" w:type="dxa"/>
            <w:tcBorders/>
            <w:vAlign w:val="center"/>
          </w:tcPr>
          <w:p>
            <w:pPr>
              <w:pStyle w:val="TableContents"/>
              <w:bidi w:val="0"/>
              <w:spacing w:lineRule="auto" w:line="285" w:before="0" w:after="0"/>
              <w:ind w:left="0" w:right="0" w:hanging="0"/>
              <w:jc w:val="left"/>
              <w:rPr/>
            </w:pPr>
            <w:r>
              <w:rPr/>
              <w:t>​</w:t>
            </w:r>
          </w:p>
        </w:tc>
        <w:tc>
          <w:tcPr>
            <w:tcW w:w="931" w:type="dxa"/>
            <w:tcBorders/>
            <w:vAlign w:val="center"/>
          </w:tcPr>
          <w:p>
            <w:pPr>
              <w:pStyle w:val="TableContents"/>
              <w:bidi w:val="0"/>
              <w:spacing w:lineRule="auto" w:line="285" w:before="1" w:after="1"/>
              <w:ind w:left="0" w:right="0" w:hanging="0"/>
              <w:jc w:val="righ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290" w:type="dxa"/>
            <w:tcBorders/>
            <w:vAlign w:val="center"/>
          </w:tcPr>
          <w:p>
            <w:pPr>
              <w:pStyle w:val="TableContents"/>
              <w:bidi w:val="0"/>
              <w:spacing w:lineRule="auto" w:line="285" w:before="0" w:after="0"/>
              <w:ind w:left="0" w:right="0" w:hanging="0"/>
              <w:jc w:val="left"/>
              <w:rPr/>
            </w:pPr>
            <w:r>
              <w:rPr/>
              <w:t>​</w:t>
            </w:r>
          </w:p>
        </w:tc>
        <w:tc>
          <w:tcPr>
            <w:tcW w:w="476" w:type="dxa"/>
            <w:tcBorders/>
            <w:vAlign w:val="center"/>
          </w:tcPr>
          <w:p>
            <w:pPr>
              <w:pStyle w:val="TableContents"/>
              <w:bidi w:val="0"/>
              <w:spacing w:lineRule="auto" w:line="285" w:before="1" w:after="1"/>
              <w:ind w:left="0" w:right="0" w:hanging="0"/>
              <w:jc w:val="righ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pPr>
            <w:r>
              <w:rPr/>
              <w:t>​</w:t>
            </w:r>
          </w:p>
        </w:tc>
        <w:tc>
          <w:tcPr>
            <w:tcW w:w="781" w:type="dxa"/>
            <w:tcBorders/>
            <w:vAlign w:val="center"/>
          </w:tcPr>
          <w:p>
            <w:pPr>
              <w:pStyle w:val="TableContents"/>
              <w:bidi w:val="0"/>
              <w:spacing w:lineRule="auto" w:line="285" w:before="1" w:after="1"/>
              <w:ind w:left="0" w:right="0" w:hanging="0"/>
              <w:jc w:val="right"/>
              <w:rPr>
                <w:rFonts w:ascii="Times New Roman;Times;serif" w:hAnsi="Times New Roman;Times;serif"/>
                <w:sz w:val="20"/>
              </w:rPr>
            </w:pPr>
            <w:r>
              <w:rPr>
                <w:rFonts w:ascii="Times New Roman;Times;serif" w:hAnsi="Times New Roman;Times;serif"/>
                <w:sz w:val="20"/>
              </w:rPr>
              <w:t>111</w:t>
            </w:r>
          </w:p>
        </w:tc>
        <w:tc>
          <w:tcPr>
            <w:tcW w:w="346" w:type="dxa"/>
            <w:tcBorders/>
            <w:vAlign w:val="center"/>
          </w:tcPr>
          <w:p>
            <w:pPr>
              <w:pStyle w:val="TableContents"/>
              <w:bidi w:val="0"/>
              <w:spacing w:lineRule="auto" w:line="285" w:before="0" w:after="0"/>
              <w:ind w:left="0" w:right="0" w:hanging="0"/>
              <w:jc w:val="left"/>
              <w:rPr/>
            </w:pPr>
            <w:r>
              <w:rPr/>
              <w:t>​</w:t>
            </w:r>
          </w:p>
        </w:tc>
        <w:tc>
          <w:tcPr>
            <w:tcW w:w="237" w:type="dxa"/>
            <w:tcBorders/>
            <w:vAlign w:val="center"/>
          </w:tcPr>
          <w:p>
            <w:pPr>
              <w:pStyle w:val="TableContents"/>
              <w:bidi w:val="0"/>
              <w:spacing w:lineRule="auto" w:line="285" w:before="0" w:after="0"/>
              <w:ind w:left="0" w:right="0" w:hanging="0"/>
              <w:jc w:val="left"/>
              <w:rPr/>
            </w:pPr>
            <w:r>
              <w:rPr/>
              <w:t>​</w:t>
            </w:r>
          </w:p>
        </w:tc>
        <w:tc>
          <w:tcPr>
            <w:tcW w:w="949" w:type="dxa"/>
            <w:tcBorders/>
            <w:vAlign w:val="center"/>
          </w:tcPr>
          <w:p>
            <w:pPr>
              <w:pStyle w:val="TableContents"/>
              <w:bidi w:val="0"/>
              <w:spacing w:lineRule="auto" w:line="285" w:before="1" w:after="1"/>
              <w:ind w:left="0" w:right="0" w:hanging="0"/>
              <w:jc w:val="righ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pPr>
            <w:r>
              <w:rPr/>
              <w:t>​</w:t>
            </w:r>
          </w:p>
        </w:tc>
        <w:tc>
          <w:tcPr>
            <w:tcW w:w="700" w:type="dxa"/>
            <w:tcBorders/>
            <w:vAlign w:val="center"/>
          </w:tcPr>
          <w:p>
            <w:pPr>
              <w:pStyle w:val="TableContents"/>
              <w:bidi w:val="0"/>
              <w:spacing w:lineRule="auto" w:line="285" w:before="1" w:after="1"/>
              <w:ind w:left="0" w:right="0" w:hanging="0"/>
              <w:jc w:val="right"/>
              <w:rPr>
                <w:rFonts w:ascii="Times New Roman;Times;serif" w:hAnsi="Times New Roman;Times;serif"/>
                <w:sz w:val="20"/>
              </w:rPr>
            </w:pPr>
            <w:r>
              <w:rPr>
                <w:rFonts w:ascii="Times New Roman;Times;serif" w:hAnsi="Times New Roman;Times;serif"/>
                <w:sz w:val="20"/>
              </w:rPr>
              <w:t>111</w:t>
            </w:r>
          </w:p>
        </w:tc>
      </w:tr>
      <w:tr>
        <w:trPr/>
        <w:tc>
          <w:tcPr>
            <w:tcW w:w="3689" w:type="dxa"/>
            <w:tcBorders>
              <w:bottom w:val="single" w:sz="2" w:space="0" w:color="000000"/>
            </w:tcBorders>
            <w:shd w:fill="CCEEFF" w:val="clear"/>
            <w:tcMar>
              <w:bottom w:w="28" w:type="dxa"/>
            </w:tcMar>
            <w:vAlign w:val="center"/>
          </w:tcPr>
          <w:p>
            <w:pPr>
              <w:pStyle w:val="TableContents"/>
              <w:bidi w:val="0"/>
              <w:spacing w:lineRule="auto" w:line="285" w:before="1" w:after="1"/>
              <w:ind w:left="0" w:right="0" w:hanging="0"/>
              <w:jc w:val="left"/>
              <w:rPr>
                <w:rFonts w:ascii="Times New Roman;Times;serif" w:hAnsi="Times New Roman;Times;serif"/>
                <w:sz w:val="20"/>
              </w:rPr>
            </w:pPr>
            <w:r>
              <w:rPr>
                <w:rFonts w:ascii="Times New Roman;Times;serif" w:hAnsi="Times New Roman;Times;serif"/>
                <w:sz w:val="20"/>
              </w:rPr>
              <w:t>Net loss</w:t>
            </w:r>
          </w:p>
        </w:tc>
        <w:tc>
          <w:tcPr>
            <w:tcW w:w="34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931" w:type="dxa"/>
            <w:tcBorders>
              <w:bottom w:val="single" w:sz="2" w:space="0" w:color="000000"/>
            </w:tcBorders>
            <w:shd w:fill="CCEEFF" w:val="clear"/>
            <w:tcMar>
              <w:bottom w:w="28" w:type="dxa"/>
            </w:tcMar>
            <w:vAlign w:val="center"/>
          </w:tcPr>
          <w:p>
            <w:pPr>
              <w:pStyle w:val="TableContents"/>
              <w:bidi w:val="0"/>
              <w:spacing w:lineRule="auto" w:line="285" w:before="1" w:after="1"/>
              <w:ind w:left="0" w:right="0" w:hanging="0"/>
              <w:jc w:val="right"/>
              <w:rPr/>
            </w:pPr>
            <w:r>
              <w:rPr/>
              <w:t>—</w:t>
            </w:r>
          </w:p>
        </w:tc>
        <w:tc>
          <w:tcPr>
            <w:tcW w:w="34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290"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476" w:type="dxa"/>
            <w:tcBorders>
              <w:bottom w:val="single" w:sz="2" w:space="0" w:color="000000"/>
            </w:tcBorders>
            <w:shd w:fill="CCEEFF" w:val="clear"/>
            <w:tcMar>
              <w:bottom w:w="28" w:type="dxa"/>
            </w:tcMar>
            <w:vAlign w:val="center"/>
          </w:tcPr>
          <w:p>
            <w:pPr>
              <w:pStyle w:val="TableContents"/>
              <w:bidi w:val="0"/>
              <w:spacing w:lineRule="auto" w:line="285" w:before="1" w:after="1"/>
              <w:ind w:left="0" w:right="0" w:hanging="0"/>
              <w:jc w:val="right"/>
              <w:rPr/>
            </w:pPr>
            <w:r>
              <w:rPr/>
              <w:t>—</w:t>
            </w:r>
          </w:p>
        </w:tc>
        <w:tc>
          <w:tcPr>
            <w:tcW w:w="34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lineRule="auto" w:line="285" w:before="1" w:after="1"/>
              <w:ind w:left="0" w:right="0" w:hanging="0"/>
              <w:jc w:val="right"/>
              <w:rPr/>
            </w:pPr>
            <w:r>
              <w:rPr/>
              <w:t>—</w:t>
            </w:r>
          </w:p>
        </w:tc>
        <w:tc>
          <w:tcPr>
            <w:tcW w:w="34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237"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949" w:type="dxa"/>
            <w:tcBorders>
              <w:bottom w:val="single" w:sz="2" w:space="0" w:color="000000"/>
            </w:tcBorders>
            <w:shd w:fill="CCEEFF" w:val="clear"/>
            <w:tcMar>
              <w:bottom w:w="28" w:type="dxa"/>
            </w:tcMar>
            <w:vAlign w:val="center"/>
          </w:tcPr>
          <w:p>
            <w:pPr>
              <w:pStyle w:val="TableContents"/>
              <w:bidi w:val="0"/>
              <w:spacing w:lineRule="auto" w:line="285" w:before="1" w:after="1"/>
              <w:ind w:left="0" w:right="0" w:hanging="0"/>
              <w:jc w:val="right"/>
              <w:rPr>
                <w:rFonts w:ascii="Times New Roman;Times;serif" w:hAnsi="Times New Roman;Times;serif"/>
                <w:sz w:val="20"/>
              </w:rPr>
            </w:pPr>
            <w:r>
              <w:rPr>
                <w:rFonts w:ascii="Times New Roman;Times;serif" w:hAnsi="Times New Roman;Times;serif"/>
                <w:sz w:val="20"/>
              </w:rPr>
              <w:t>(3,995)</w:t>
            </w:r>
          </w:p>
        </w:tc>
        <w:tc>
          <w:tcPr>
            <w:tcW w:w="34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700" w:type="dxa"/>
            <w:tcBorders>
              <w:bottom w:val="single" w:sz="2" w:space="0" w:color="000000"/>
            </w:tcBorders>
            <w:shd w:fill="CCEEFF" w:val="clear"/>
            <w:tcMar>
              <w:bottom w:w="28" w:type="dxa"/>
            </w:tcMar>
            <w:vAlign w:val="center"/>
          </w:tcPr>
          <w:p>
            <w:pPr>
              <w:pStyle w:val="TableContents"/>
              <w:bidi w:val="0"/>
              <w:spacing w:lineRule="auto" w:line="285" w:before="1" w:after="1"/>
              <w:ind w:left="0" w:right="0" w:hanging="0"/>
              <w:jc w:val="right"/>
              <w:rPr>
                <w:rFonts w:ascii="Times New Roman;Times;serif" w:hAnsi="Times New Roman;Times;serif"/>
                <w:sz w:val="20"/>
              </w:rPr>
            </w:pPr>
            <w:r>
              <w:rPr>
                <w:rFonts w:ascii="Times New Roman;Times;serif" w:hAnsi="Times New Roman;Times;serif"/>
                <w:sz w:val="20"/>
              </w:rPr>
              <w:t>(3,995)</w:t>
            </w:r>
          </w:p>
        </w:tc>
      </w:tr>
      <w:tr>
        <w:trPr/>
        <w:tc>
          <w:tcPr>
            <w:tcW w:w="3689" w:type="dxa"/>
            <w:tcBorders>
              <w:bottom w:val="double" w:sz="6" w:space="0" w:color="000000"/>
            </w:tcBorders>
            <w:tcMar>
              <w:bottom w:w="28" w:type="dxa"/>
            </w:tcMar>
            <w:vAlign w:val="center"/>
          </w:tcPr>
          <w:p>
            <w:pPr>
              <w:pStyle w:val="TableContents"/>
              <w:bidi w:val="0"/>
              <w:spacing w:lineRule="auto" w:line="285" w:before="1" w:after="1"/>
              <w:ind w:left="0" w:right="0" w:hanging="0"/>
              <w:jc w:val="left"/>
              <w:rPr>
                <w:rFonts w:ascii="Times New Roman;Times;serif" w:hAnsi="Times New Roman;Times;serif"/>
                <w:sz w:val="20"/>
              </w:rPr>
            </w:pPr>
            <w:r>
              <w:rPr>
                <w:rFonts w:ascii="Times New Roman;Times;serif" w:hAnsi="Times New Roman;Times;serif"/>
                <w:sz w:val="20"/>
              </w:rPr>
              <w:t>As of June 30, 2025</w:t>
            </w:r>
          </w:p>
        </w:tc>
        <w:tc>
          <w:tcPr>
            <w:tcW w:w="346"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931" w:type="dxa"/>
            <w:tcBorders>
              <w:bottom w:val="double" w:sz="6" w:space="0" w:color="000000"/>
            </w:tcBorders>
            <w:tcMar>
              <w:bottom w:w="28" w:type="dxa"/>
            </w:tcMar>
            <w:vAlign w:val="center"/>
          </w:tcPr>
          <w:p>
            <w:pPr>
              <w:pStyle w:val="TableContents"/>
              <w:bidi w:val="0"/>
              <w:spacing w:lineRule="auto" w:line="285" w:before="1" w:after="1"/>
              <w:ind w:left="0" w:right="0" w:hanging="0"/>
              <w:jc w:val="right"/>
              <w:rPr>
                <w:rFonts w:ascii="Times New Roman;Times;serif" w:hAnsi="Times New Roman;Times;serif"/>
                <w:sz w:val="20"/>
              </w:rPr>
            </w:pPr>
            <w:r>
              <w:rPr>
                <w:rFonts w:ascii="Times New Roman;Times;serif" w:hAnsi="Times New Roman;Times;serif"/>
                <w:sz w:val="20"/>
              </w:rPr>
              <w:t>2,199,481</w:t>
            </w:r>
          </w:p>
        </w:tc>
        <w:tc>
          <w:tcPr>
            <w:tcW w:w="346"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290" w:type="dxa"/>
            <w:tcBorders>
              <w:bottom w:val="double" w:sz="6" w:space="0" w:color="000000"/>
            </w:tcBorders>
            <w:tcMar>
              <w:bottom w:w="28" w:type="dxa"/>
            </w:tcMar>
            <w:vAlign w:val="center"/>
          </w:tcPr>
          <w:p>
            <w:pPr>
              <w:pStyle w:val="TableContents"/>
              <w:bidi w:val="0"/>
              <w:spacing w:lineRule="auto" w:line="285" w:before="1" w:after="1"/>
              <w:ind w:left="0" w:right="0" w:hanging="0"/>
              <w:jc w:val="left"/>
              <w:rPr>
                <w:rFonts w:ascii="Times New Roman;Times;serif" w:hAnsi="Times New Roman;Times;serif"/>
                <w:sz w:val="20"/>
              </w:rPr>
            </w:pPr>
            <w:r>
              <w:rPr>
                <w:rFonts w:ascii="Times New Roman;Times;serif" w:hAnsi="Times New Roman;Times;serif"/>
                <w:sz w:val="20"/>
              </w:rPr>
              <w:t>$</w:t>
            </w:r>
          </w:p>
        </w:tc>
        <w:tc>
          <w:tcPr>
            <w:tcW w:w="476" w:type="dxa"/>
            <w:tcBorders>
              <w:bottom w:val="double" w:sz="6" w:space="0" w:color="000000"/>
            </w:tcBorders>
            <w:tcMar>
              <w:bottom w:w="28" w:type="dxa"/>
            </w:tcMar>
            <w:vAlign w:val="center"/>
          </w:tcPr>
          <w:p>
            <w:pPr>
              <w:pStyle w:val="TableContents"/>
              <w:bidi w:val="0"/>
              <w:spacing w:lineRule="auto" w:line="285" w:before="1" w:after="1"/>
              <w:ind w:left="0" w:right="0" w:hanging="0"/>
              <w:jc w:val="right"/>
              <w:rPr>
                <w:rFonts w:ascii="Times New Roman;Times;serif" w:hAnsi="Times New Roman;Times;serif"/>
                <w:sz w:val="20"/>
              </w:rPr>
            </w:pPr>
            <w:r>
              <w:rPr>
                <w:rFonts w:ascii="Times New Roman;Times;serif" w:hAnsi="Times New Roman;Times;serif"/>
                <w:sz w:val="20"/>
              </w:rPr>
              <w:t>2</w:t>
            </w:r>
          </w:p>
        </w:tc>
        <w:tc>
          <w:tcPr>
            <w:tcW w:w="346"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lineRule="auto" w:line="285" w:before="1"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lineRule="auto" w:line="285" w:before="1" w:after="1"/>
              <w:ind w:left="0" w:right="0" w:hanging="0"/>
              <w:jc w:val="right"/>
              <w:rPr>
                <w:rFonts w:ascii="Times New Roman;Times;serif" w:hAnsi="Times New Roman;Times;serif"/>
                <w:sz w:val="20"/>
              </w:rPr>
            </w:pPr>
            <w:r>
              <w:rPr>
                <w:rFonts w:ascii="Times New Roman;Times;serif" w:hAnsi="Times New Roman;Times;serif"/>
                <w:sz w:val="20"/>
              </w:rPr>
              <w:t>153,145</w:t>
            </w:r>
          </w:p>
        </w:tc>
        <w:tc>
          <w:tcPr>
            <w:tcW w:w="346"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237" w:type="dxa"/>
            <w:tcBorders>
              <w:bottom w:val="double" w:sz="6" w:space="0" w:color="000000"/>
            </w:tcBorders>
            <w:tcMar>
              <w:bottom w:w="28" w:type="dxa"/>
            </w:tcMar>
            <w:vAlign w:val="center"/>
          </w:tcPr>
          <w:p>
            <w:pPr>
              <w:pStyle w:val="TableContents"/>
              <w:bidi w:val="0"/>
              <w:spacing w:lineRule="auto" w:line="285" w:before="1" w:after="1"/>
              <w:ind w:left="0" w:right="0" w:hanging="0"/>
              <w:jc w:val="left"/>
              <w:rPr>
                <w:rFonts w:ascii="Times New Roman;Times;serif" w:hAnsi="Times New Roman;Times;serif"/>
                <w:sz w:val="20"/>
              </w:rPr>
            </w:pPr>
            <w:r>
              <w:rPr>
                <w:rFonts w:ascii="Times New Roman;Times;serif" w:hAnsi="Times New Roman;Times;serif"/>
                <w:sz w:val="20"/>
              </w:rPr>
              <w:t>$</w:t>
            </w:r>
          </w:p>
        </w:tc>
        <w:tc>
          <w:tcPr>
            <w:tcW w:w="949" w:type="dxa"/>
            <w:tcBorders>
              <w:bottom w:val="double" w:sz="6" w:space="0" w:color="000000"/>
            </w:tcBorders>
            <w:tcMar>
              <w:bottom w:w="28" w:type="dxa"/>
            </w:tcMar>
            <w:vAlign w:val="center"/>
          </w:tcPr>
          <w:p>
            <w:pPr>
              <w:pStyle w:val="TableContents"/>
              <w:bidi w:val="0"/>
              <w:spacing w:lineRule="auto" w:line="285" w:before="1" w:after="1"/>
              <w:ind w:left="0" w:right="0" w:hanging="0"/>
              <w:jc w:val="right"/>
              <w:rPr>
                <w:rFonts w:ascii="Times New Roman;Times;serif" w:hAnsi="Times New Roman;Times;serif"/>
                <w:sz w:val="20"/>
              </w:rPr>
            </w:pPr>
            <w:r>
              <w:rPr>
                <w:rFonts w:ascii="Times New Roman;Times;serif" w:hAnsi="Times New Roman;Times;serif"/>
                <w:sz w:val="20"/>
              </w:rPr>
              <w:t>(143,523)</w:t>
            </w:r>
          </w:p>
        </w:tc>
        <w:tc>
          <w:tcPr>
            <w:tcW w:w="346"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lineRule="auto" w:line="285" w:before="1" w:after="1"/>
              <w:ind w:left="0" w:right="0" w:hanging="0"/>
              <w:jc w:val="left"/>
              <w:rPr>
                <w:rFonts w:ascii="Times New Roman;Times;serif" w:hAnsi="Times New Roman;Times;serif"/>
                <w:sz w:val="20"/>
              </w:rPr>
            </w:pPr>
            <w:r>
              <w:rPr>
                <w:rFonts w:ascii="Times New Roman;Times;serif" w:hAnsi="Times New Roman;Times;serif"/>
                <w:sz w:val="20"/>
              </w:rPr>
              <w:t>$</w:t>
            </w:r>
          </w:p>
        </w:tc>
        <w:tc>
          <w:tcPr>
            <w:tcW w:w="700" w:type="dxa"/>
            <w:tcBorders>
              <w:bottom w:val="double" w:sz="6" w:space="0" w:color="000000"/>
            </w:tcBorders>
            <w:tcMar>
              <w:bottom w:w="28" w:type="dxa"/>
            </w:tcMar>
            <w:vAlign w:val="center"/>
          </w:tcPr>
          <w:p>
            <w:pPr>
              <w:pStyle w:val="TableContents"/>
              <w:bidi w:val="0"/>
              <w:spacing w:lineRule="auto" w:line="285" w:before="1" w:after="1"/>
              <w:ind w:left="0" w:right="0" w:hanging="0"/>
              <w:jc w:val="right"/>
              <w:rPr>
                <w:rFonts w:ascii="Times New Roman;Times;serif" w:hAnsi="Times New Roman;Times;serif"/>
                <w:sz w:val="20"/>
              </w:rPr>
            </w:pPr>
            <w:r>
              <w:rPr>
                <w:rFonts w:ascii="Times New Roman;Times;serif" w:hAnsi="Times New Roman;Times;serif"/>
                <w:sz w:val="20"/>
              </w:rPr>
              <w:t>9,624</w:t>
            </w:r>
          </w:p>
        </w:tc>
      </w:tr>
      <w:tr>
        <w:trPr/>
        <w:tc>
          <w:tcPr>
            <w:tcW w:w="3689" w:type="dxa"/>
            <w:tcBorders/>
            <w:shd w:fill="CCEEFF" w:val="clear"/>
            <w:vAlign w:val="center"/>
          </w:tcPr>
          <w:p>
            <w:pPr>
              <w:pStyle w:val="TableContents"/>
              <w:bidi w:val="0"/>
              <w:spacing w:lineRule="auto" w:line="285" w:before="0" w:after="0"/>
              <w:ind w:left="0" w:right="0" w:hanging="0"/>
              <w:jc w:val="lef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931" w:type="dxa"/>
            <w:tcBorders/>
            <w:shd w:fill="CCEEFF" w:val="clear"/>
            <w:vAlign w:val="center"/>
          </w:tcPr>
          <w:p>
            <w:pPr>
              <w:pStyle w:val="TableContents"/>
              <w:bidi w:val="0"/>
              <w:spacing w:lineRule="auto" w:line="285" w:before="0" w:after="0"/>
              <w:ind w:left="0" w:right="0" w:hanging="0"/>
              <w:jc w:val="righ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90" w:type="dxa"/>
            <w:tcBorders/>
            <w:shd w:fill="CCEEFF" w:val="clear"/>
            <w:vAlign w:val="center"/>
          </w:tcPr>
          <w:p>
            <w:pPr>
              <w:pStyle w:val="TableContents"/>
              <w:bidi w:val="0"/>
              <w:spacing w:lineRule="auto" w:line="285" w:before="0" w:after="0"/>
              <w:ind w:left="0" w:right="0" w:hanging="0"/>
              <w:jc w:val="left"/>
              <w:rPr/>
            </w:pPr>
            <w:r>
              <w:rPr/>
              <w:t>​</w:t>
            </w:r>
          </w:p>
        </w:tc>
        <w:tc>
          <w:tcPr>
            <w:tcW w:w="476" w:type="dxa"/>
            <w:tcBorders/>
            <w:shd w:fill="CCEEFF" w:val="clear"/>
            <w:vAlign w:val="center"/>
          </w:tcPr>
          <w:p>
            <w:pPr>
              <w:pStyle w:val="TableContents"/>
              <w:bidi w:val="0"/>
              <w:spacing w:lineRule="auto" w:line="285" w:before="0" w:after="0"/>
              <w:ind w:left="0" w:right="0" w:hanging="0"/>
              <w:jc w:val="righ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pPr>
            <w:r>
              <w:rPr/>
              <w:t>​</w:t>
            </w:r>
          </w:p>
        </w:tc>
        <w:tc>
          <w:tcPr>
            <w:tcW w:w="781" w:type="dxa"/>
            <w:tcBorders/>
            <w:shd w:fill="CCEEFF" w:val="clear"/>
            <w:vAlign w:val="center"/>
          </w:tcPr>
          <w:p>
            <w:pPr>
              <w:pStyle w:val="TableContents"/>
              <w:bidi w:val="0"/>
              <w:spacing w:lineRule="auto" w:line="285" w:before="0" w:after="0"/>
              <w:ind w:left="0" w:right="0" w:hanging="0"/>
              <w:jc w:val="righ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37" w:type="dxa"/>
            <w:tcBorders/>
            <w:shd w:fill="CCEEFF" w:val="clear"/>
            <w:vAlign w:val="center"/>
          </w:tcPr>
          <w:p>
            <w:pPr>
              <w:pStyle w:val="TableContents"/>
              <w:bidi w:val="0"/>
              <w:spacing w:lineRule="auto" w:line="285" w:before="0" w:after="0"/>
              <w:ind w:left="0" w:right="0" w:hanging="0"/>
              <w:jc w:val="left"/>
              <w:rPr/>
            </w:pPr>
            <w:r>
              <w:rPr/>
              <w:t>​</w:t>
            </w:r>
          </w:p>
        </w:tc>
        <w:tc>
          <w:tcPr>
            <w:tcW w:w="949" w:type="dxa"/>
            <w:tcBorders/>
            <w:shd w:fill="CCEEFF" w:val="clear"/>
            <w:vAlign w:val="center"/>
          </w:tcPr>
          <w:p>
            <w:pPr>
              <w:pStyle w:val="TableContents"/>
              <w:bidi w:val="0"/>
              <w:spacing w:lineRule="auto" w:line="285" w:before="0" w:after="0"/>
              <w:ind w:left="0" w:right="0" w:hanging="0"/>
              <w:jc w:val="righ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pPr>
            <w:r>
              <w:rPr/>
              <w:t>​</w:t>
            </w:r>
          </w:p>
        </w:tc>
        <w:tc>
          <w:tcPr>
            <w:tcW w:w="700" w:type="dxa"/>
            <w:tcBorders/>
            <w:shd w:fill="CCEEFF" w:val="clear"/>
            <w:vAlign w:val="center"/>
          </w:tcPr>
          <w:p>
            <w:pPr>
              <w:pStyle w:val="TableContents"/>
              <w:bidi w:val="0"/>
              <w:spacing w:lineRule="auto" w:line="285" w:before="0" w:after="0"/>
              <w:ind w:left="0" w:right="0" w:hanging="0"/>
              <w:jc w:val="right"/>
              <w:rPr/>
            </w:pPr>
            <w:r>
              <w:rPr/>
              <w:t>​</w:t>
            </w:r>
          </w:p>
        </w:tc>
      </w:tr>
      <w:tr>
        <w:trPr/>
        <w:tc>
          <w:tcPr>
            <w:tcW w:w="3689" w:type="dxa"/>
            <w:tcBorders/>
            <w:vAlign w:val="center"/>
          </w:tcPr>
          <w:p>
            <w:pPr>
              <w:pStyle w:val="TableContents"/>
              <w:bidi w:val="0"/>
              <w:spacing w:lineRule="auto" w:line="285" w:before="1" w:after="1"/>
              <w:ind w:left="0" w:right="0" w:hanging="0"/>
              <w:jc w:val="left"/>
              <w:rPr>
                <w:rFonts w:ascii="Times New Roman;Times;serif" w:hAnsi="Times New Roman;Times;serif"/>
                <w:sz w:val="20"/>
              </w:rPr>
            </w:pPr>
            <w:r>
              <w:rPr>
                <w:rFonts w:ascii="Times New Roman;Times;serif" w:hAnsi="Times New Roman;Times;serif"/>
                <w:sz w:val="20"/>
              </w:rPr>
              <w:t>As of January 1, 2026</w:t>
            </w:r>
          </w:p>
        </w:tc>
        <w:tc>
          <w:tcPr>
            <w:tcW w:w="346" w:type="dxa"/>
            <w:tcBorders/>
            <w:vAlign w:val="center"/>
          </w:tcPr>
          <w:p>
            <w:pPr>
              <w:pStyle w:val="TableContents"/>
              <w:bidi w:val="0"/>
              <w:spacing w:lineRule="auto" w:line="285" w:before="0" w:after="0"/>
              <w:ind w:left="0" w:right="0" w:hanging="0"/>
              <w:jc w:val="left"/>
              <w:rPr/>
            </w:pPr>
            <w:r>
              <w:rPr/>
              <w:t>​</w:t>
            </w:r>
          </w:p>
        </w:tc>
        <w:tc>
          <w:tcPr>
            <w:tcW w:w="931" w:type="dxa"/>
            <w:tcBorders/>
            <w:vAlign w:val="center"/>
          </w:tcPr>
          <w:p>
            <w:pPr>
              <w:pStyle w:val="TableContents"/>
              <w:bidi w:val="0"/>
              <w:spacing w:lineRule="auto" w:line="285" w:before="1" w:after="1"/>
              <w:ind w:left="0" w:right="0" w:hanging="0"/>
              <w:jc w:val="right"/>
              <w:rPr>
                <w:rFonts w:ascii="Times New Roman;Times;serif" w:hAnsi="Times New Roman;Times;serif"/>
                <w:sz w:val="20"/>
              </w:rPr>
            </w:pPr>
            <w:r>
              <w:rPr>
                <w:rFonts w:ascii="Times New Roman;Times;serif" w:hAnsi="Times New Roman;Times;serif"/>
                <w:sz w:val="20"/>
              </w:rPr>
              <w:t>2,308,294</w:t>
            </w:r>
          </w:p>
        </w:tc>
        <w:tc>
          <w:tcPr>
            <w:tcW w:w="346" w:type="dxa"/>
            <w:tcBorders/>
            <w:vAlign w:val="center"/>
          </w:tcPr>
          <w:p>
            <w:pPr>
              <w:pStyle w:val="TableContents"/>
              <w:bidi w:val="0"/>
              <w:spacing w:lineRule="auto" w:line="285" w:before="0" w:after="0"/>
              <w:ind w:left="0" w:right="0" w:hanging="0"/>
              <w:jc w:val="left"/>
              <w:rPr/>
            </w:pPr>
            <w:r>
              <w:rPr/>
              <w:t>​</w:t>
            </w:r>
          </w:p>
        </w:tc>
        <w:tc>
          <w:tcPr>
            <w:tcW w:w="290" w:type="dxa"/>
            <w:tcBorders/>
            <w:vAlign w:val="center"/>
          </w:tcPr>
          <w:p>
            <w:pPr>
              <w:pStyle w:val="TableContents"/>
              <w:bidi w:val="0"/>
              <w:spacing w:lineRule="auto" w:line="285" w:before="1" w:after="1"/>
              <w:ind w:left="0" w:right="0" w:hanging="0"/>
              <w:jc w:val="left"/>
              <w:rPr>
                <w:rFonts w:ascii="Times New Roman;Times;serif" w:hAnsi="Times New Roman;Times;serif"/>
                <w:sz w:val="20"/>
              </w:rPr>
            </w:pPr>
            <w:r>
              <w:rPr>
                <w:rFonts w:ascii="Times New Roman;Times;serif" w:hAnsi="Times New Roman;Times;serif"/>
                <w:sz w:val="20"/>
              </w:rPr>
              <w:t>$</w:t>
            </w:r>
          </w:p>
        </w:tc>
        <w:tc>
          <w:tcPr>
            <w:tcW w:w="476" w:type="dxa"/>
            <w:tcBorders/>
            <w:vAlign w:val="center"/>
          </w:tcPr>
          <w:p>
            <w:pPr>
              <w:pStyle w:val="TableContents"/>
              <w:bidi w:val="0"/>
              <w:spacing w:lineRule="auto" w:line="285" w:before="1" w:after="1"/>
              <w:ind w:left="0" w:right="0" w:hanging="0"/>
              <w:jc w:val="right"/>
              <w:rPr>
                <w:rFonts w:ascii="Times New Roman;Times;serif" w:hAnsi="Times New Roman;Times;serif"/>
                <w:sz w:val="20"/>
              </w:rPr>
            </w:pPr>
            <w:r>
              <w:rPr>
                <w:rFonts w:ascii="Times New Roman;Times;serif" w:hAnsi="Times New Roman;Times;serif"/>
                <w:sz w:val="20"/>
              </w:rPr>
              <w:t>2</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1"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vAlign w:val="center"/>
          </w:tcPr>
          <w:p>
            <w:pPr>
              <w:pStyle w:val="TableContents"/>
              <w:bidi w:val="0"/>
              <w:spacing w:lineRule="auto" w:line="285" w:before="1" w:after="1"/>
              <w:ind w:left="0" w:right="0" w:hanging="0"/>
              <w:jc w:val="right"/>
              <w:rPr>
                <w:rFonts w:ascii="Times New Roman;Times;serif" w:hAnsi="Times New Roman;Times;serif"/>
                <w:sz w:val="20"/>
              </w:rPr>
            </w:pPr>
            <w:r>
              <w:rPr>
                <w:rFonts w:ascii="Times New Roman;Times;serif" w:hAnsi="Times New Roman;Times;serif"/>
                <w:sz w:val="20"/>
              </w:rPr>
              <w:t>154,161</w:t>
            </w:r>
          </w:p>
        </w:tc>
        <w:tc>
          <w:tcPr>
            <w:tcW w:w="346" w:type="dxa"/>
            <w:tcBorders/>
            <w:vAlign w:val="center"/>
          </w:tcPr>
          <w:p>
            <w:pPr>
              <w:pStyle w:val="TableContents"/>
              <w:bidi w:val="0"/>
              <w:spacing w:lineRule="auto" w:line="285" w:before="0" w:after="0"/>
              <w:ind w:left="0" w:right="0" w:hanging="0"/>
              <w:jc w:val="left"/>
              <w:rPr/>
            </w:pPr>
            <w:r>
              <w:rPr/>
              <w:t>​</w:t>
            </w:r>
          </w:p>
        </w:tc>
        <w:tc>
          <w:tcPr>
            <w:tcW w:w="237" w:type="dxa"/>
            <w:tcBorders/>
            <w:vAlign w:val="center"/>
          </w:tcPr>
          <w:p>
            <w:pPr>
              <w:pStyle w:val="TableContents"/>
              <w:bidi w:val="0"/>
              <w:spacing w:lineRule="auto" w:line="285" w:before="1" w:after="1"/>
              <w:ind w:left="0" w:right="0" w:hanging="0"/>
              <w:jc w:val="left"/>
              <w:rPr>
                <w:rFonts w:ascii="Times New Roman;Times;serif" w:hAnsi="Times New Roman;Times;serif"/>
                <w:sz w:val="20"/>
              </w:rPr>
            </w:pPr>
            <w:r>
              <w:rPr>
                <w:rFonts w:ascii="Times New Roman;Times;serif" w:hAnsi="Times New Roman;Times;serif"/>
                <w:sz w:val="20"/>
              </w:rPr>
              <w:t>$</w:t>
            </w:r>
          </w:p>
        </w:tc>
        <w:tc>
          <w:tcPr>
            <w:tcW w:w="949" w:type="dxa"/>
            <w:tcBorders/>
            <w:vAlign w:val="center"/>
          </w:tcPr>
          <w:p>
            <w:pPr>
              <w:pStyle w:val="TableContents"/>
              <w:bidi w:val="0"/>
              <w:spacing w:lineRule="auto" w:line="285" w:before="1" w:after="1"/>
              <w:ind w:left="0" w:right="0" w:hanging="0"/>
              <w:jc w:val="right"/>
              <w:rPr>
                <w:rFonts w:ascii="Times New Roman;Times;serif" w:hAnsi="Times New Roman;Times;serif"/>
                <w:sz w:val="20"/>
              </w:rPr>
            </w:pPr>
            <w:r>
              <w:rPr>
                <w:rFonts w:ascii="Times New Roman;Times;serif" w:hAnsi="Times New Roman;Times;serif"/>
                <w:sz w:val="20"/>
              </w:rPr>
              <w:t>(148,830)</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1" w:after="1"/>
              <w:ind w:left="0" w:right="0" w:hanging="0"/>
              <w:jc w:val="left"/>
              <w:rPr>
                <w:rFonts w:ascii="Times New Roman;Times;serif" w:hAnsi="Times New Roman;Times;serif"/>
                <w:sz w:val="20"/>
              </w:rPr>
            </w:pPr>
            <w:r>
              <w:rPr>
                <w:rFonts w:ascii="Times New Roman;Times;serif" w:hAnsi="Times New Roman;Times;serif"/>
                <w:sz w:val="20"/>
              </w:rPr>
              <w:t>$</w:t>
            </w:r>
          </w:p>
        </w:tc>
        <w:tc>
          <w:tcPr>
            <w:tcW w:w="700" w:type="dxa"/>
            <w:tcBorders/>
            <w:vAlign w:val="center"/>
          </w:tcPr>
          <w:p>
            <w:pPr>
              <w:pStyle w:val="TableContents"/>
              <w:bidi w:val="0"/>
              <w:spacing w:lineRule="auto" w:line="285" w:before="1" w:after="1"/>
              <w:ind w:left="0" w:right="0" w:hanging="0"/>
              <w:jc w:val="right"/>
              <w:rPr>
                <w:rFonts w:ascii="Times New Roman;Times;serif" w:hAnsi="Times New Roman;Times;serif"/>
                <w:sz w:val="20"/>
              </w:rPr>
            </w:pPr>
            <w:r>
              <w:rPr>
                <w:rFonts w:ascii="Times New Roman;Times;serif" w:hAnsi="Times New Roman;Times;serif"/>
                <w:sz w:val="20"/>
              </w:rPr>
              <w:t>5,333</w:t>
            </w:r>
          </w:p>
        </w:tc>
      </w:tr>
      <w:tr>
        <w:trPr/>
        <w:tc>
          <w:tcPr>
            <w:tcW w:w="3689" w:type="dxa"/>
            <w:tcBorders/>
            <w:shd w:fill="CCEEFF" w:val="clear"/>
            <w:vAlign w:val="center"/>
          </w:tcPr>
          <w:p>
            <w:pPr>
              <w:pStyle w:val="TableContents"/>
              <w:bidi w:val="0"/>
              <w:spacing w:lineRule="auto" w:line="285" w:before="1" w:after="1"/>
              <w:ind w:left="0" w:right="0" w:hanging="0"/>
              <w:jc w:val="left"/>
              <w:rPr>
                <w:rFonts w:ascii="Times New Roman;Times;serif" w:hAnsi="Times New Roman;Times;serif"/>
                <w:sz w:val="20"/>
              </w:rPr>
            </w:pPr>
            <w:r>
              <w:rPr>
                <w:rFonts w:ascii="Times New Roman;Times;serif" w:hAnsi="Times New Roman;Times;serif"/>
                <w:sz w:val="20"/>
              </w:rPr>
              <w:t>Issuance of common stock and warrants in connection with an underwritten public offering, net of issuance costs of $2,169</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931" w:type="dxa"/>
            <w:tcBorders/>
            <w:shd w:fill="CCEEFF" w:val="clear"/>
            <w:vAlign w:val="center"/>
          </w:tcPr>
          <w:p>
            <w:pPr>
              <w:pStyle w:val="TableContents"/>
              <w:bidi w:val="0"/>
              <w:spacing w:lineRule="auto" w:line="285" w:before="1" w:after="1"/>
              <w:ind w:left="0" w:right="0" w:hanging="0"/>
              <w:jc w:val="right"/>
              <w:rPr>
                <w:rFonts w:ascii="Times New Roman;Times;serif" w:hAnsi="Times New Roman;Times;serif"/>
                <w:sz w:val="20"/>
              </w:rPr>
            </w:pPr>
            <w:r>
              <w:rPr>
                <w:rFonts w:ascii="Times New Roman;Times;serif" w:hAnsi="Times New Roman;Times;serif"/>
                <w:sz w:val="20"/>
              </w:rPr>
              <w:t>1,006,870</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90" w:type="dxa"/>
            <w:tcBorders/>
            <w:shd w:fill="CCEEFF" w:val="clear"/>
            <w:vAlign w:val="center"/>
          </w:tcPr>
          <w:p>
            <w:pPr>
              <w:pStyle w:val="TableContents"/>
              <w:bidi w:val="0"/>
              <w:spacing w:lineRule="auto" w:line="285" w:before="0" w:after="0"/>
              <w:ind w:left="0" w:right="0" w:hanging="0"/>
              <w:jc w:val="left"/>
              <w:rPr/>
            </w:pPr>
            <w:r>
              <w:rPr/>
              <w:t>​</w:t>
            </w:r>
          </w:p>
        </w:tc>
        <w:tc>
          <w:tcPr>
            <w:tcW w:w="476" w:type="dxa"/>
            <w:tcBorders/>
            <w:shd w:fill="CCEEFF" w:val="clear"/>
            <w:vAlign w:val="center"/>
          </w:tcPr>
          <w:p>
            <w:pPr>
              <w:pStyle w:val="TableContents"/>
              <w:bidi w:val="0"/>
              <w:spacing w:lineRule="auto" w:line="285" w:before="1" w:after="1"/>
              <w:ind w:left="0" w:right="0" w:hanging="0"/>
              <w:jc w:val="right"/>
              <w:rPr>
                <w:rFonts w:ascii="Times New Roman;Times;serif" w:hAnsi="Times New Roman;Times;serif"/>
                <w:sz w:val="20"/>
              </w:rPr>
            </w:pPr>
            <w:r>
              <w:rPr>
                <w:rFonts w:ascii="Times New Roman;Times;serif" w:hAnsi="Times New Roman;Times;serif"/>
                <w:sz w:val="20"/>
              </w:rPr>
              <w:t>1</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pPr>
            <w:r>
              <w:rPr/>
              <w:t>​</w:t>
            </w:r>
          </w:p>
        </w:tc>
        <w:tc>
          <w:tcPr>
            <w:tcW w:w="781" w:type="dxa"/>
            <w:tcBorders/>
            <w:shd w:fill="CCEEFF" w:val="clear"/>
            <w:vAlign w:val="center"/>
          </w:tcPr>
          <w:p>
            <w:pPr>
              <w:pStyle w:val="TableContents"/>
              <w:bidi w:val="0"/>
              <w:spacing w:lineRule="auto" w:line="285" w:before="1" w:after="1"/>
              <w:ind w:left="0" w:right="0" w:hanging="0"/>
              <w:jc w:val="right"/>
              <w:rPr>
                <w:rFonts w:ascii="Times New Roman;Times;serif" w:hAnsi="Times New Roman;Times;serif"/>
                <w:sz w:val="20"/>
              </w:rPr>
            </w:pPr>
            <w:r>
              <w:rPr>
                <w:rFonts w:ascii="Times New Roman;Times;serif" w:hAnsi="Times New Roman;Times;serif"/>
                <w:sz w:val="20"/>
              </w:rPr>
              <w:t>7,146</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37" w:type="dxa"/>
            <w:tcBorders/>
            <w:shd w:fill="CCEEFF" w:val="clear"/>
            <w:vAlign w:val="center"/>
          </w:tcPr>
          <w:p>
            <w:pPr>
              <w:pStyle w:val="TableContents"/>
              <w:bidi w:val="0"/>
              <w:spacing w:lineRule="auto" w:line="285" w:before="0" w:after="0"/>
              <w:ind w:left="0" w:right="0" w:hanging="0"/>
              <w:jc w:val="left"/>
              <w:rPr/>
            </w:pPr>
            <w:r>
              <w:rPr/>
              <w:t>​</w:t>
            </w:r>
          </w:p>
        </w:tc>
        <w:tc>
          <w:tcPr>
            <w:tcW w:w="949" w:type="dxa"/>
            <w:tcBorders/>
            <w:shd w:fill="CCEEFF" w:val="clear"/>
            <w:vAlign w:val="center"/>
          </w:tcPr>
          <w:p>
            <w:pPr>
              <w:pStyle w:val="TableContents"/>
              <w:bidi w:val="0"/>
              <w:spacing w:lineRule="auto" w:line="285" w:before="1" w:after="1"/>
              <w:ind w:left="0" w:right="0" w:hanging="0"/>
              <w:jc w:val="righ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pPr>
            <w:r>
              <w:rPr/>
              <w:t>​</w:t>
            </w:r>
          </w:p>
        </w:tc>
        <w:tc>
          <w:tcPr>
            <w:tcW w:w="700" w:type="dxa"/>
            <w:tcBorders/>
            <w:shd w:fill="CCEEFF" w:val="clear"/>
            <w:vAlign w:val="center"/>
          </w:tcPr>
          <w:p>
            <w:pPr>
              <w:pStyle w:val="TableContents"/>
              <w:bidi w:val="0"/>
              <w:spacing w:lineRule="auto" w:line="285" w:before="1" w:after="1"/>
              <w:ind w:left="0" w:right="0" w:hanging="0"/>
              <w:jc w:val="right"/>
              <w:rPr>
                <w:rFonts w:ascii="Times New Roman;Times;serif" w:hAnsi="Times New Roman;Times;serif"/>
                <w:sz w:val="20"/>
              </w:rPr>
            </w:pPr>
            <w:r>
              <w:rPr>
                <w:rFonts w:ascii="Times New Roman;Times;serif" w:hAnsi="Times New Roman;Times;serif"/>
                <w:sz w:val="20"/>
              </w:rPr>
              <w:t>7,147</w:t>
            </w:r>
          </w:p>
        </w:tc>
      </w:tr>
      <w:tr>
        <w:trPr/>
        <w:tc>
          <w:tcPr>
            <w:tcW w:w="3689" w:type="dxa"/>
            <w:tcBorders/>
            <w:vAlign w:val="center"/>
          </w:tcPr>
          <w:p>
            <w:pPr>
              <w:pStyle w:val="TableContents"/>
              <w:bidi w:val="0"/>
              <w:spacing w:lineRule="auto" w:line="285" w:before="1" w:after="1"/>
              <w:ind w:left="0" w:right="0" w:hanging="0"/>
              <w:jc w:val="left"/>
              <w:rPr>
                <w:rFonts w:ascii="Times New Roman;Times;serif" w:hAnsi="Times New Roman;Times;serif"/>
                <w:sz w:val="20"/>
              </w:rPr>
            </w:pPr>
            <w:r>
              <w:rPr>
                <w:rFonts w:ascii="Times New Roman;Times;serif" w:hAnsi="Times New Roman;Times;serif"/>
                <w:sz w:val="20"/>
              </w:rPr>
              <w:t>Issuance of common stock under an at the market offering agreement, net of issuance costs of $21</w:t>
            </w:r>
          </w:p>
        </w:tc>
        <w:tc>
          <w:tcPr>
            <w:tcW w:w="346" w:type="dxa"/>
            <w:tcBorders/>
            <w:vAlign w:val="center"/>
          </w:tcPr>
          <w:p>
            <w:pPr>
              <w:pStyle w:val="TableContents"/>
              <w:bidi w:val="0"/>
              <w:spacing w:lineRule="auto" w:line="285" w:before="0" w:after="0"/>
              <w:ind w:left="0" w:right="0" w:hanging="0"/>
              <w:jc w:val="left"/>
              <w:rPr/>
            </w:pPr>
            <w:r>
              <w:rPr/>
              <w:t>​</w:t>
            </w:r>
          </w:p>
        </w:tc>
        <w:tc>
          <w:tcPr>
            <w:tcW w:w="931" w:type="dxa"/>
            <w:tcBorders/>
            <w:vAlign w:val="center"/>
          </w:tcPr>
          <w:p>
            <w:pPr>
              <w:pStyle w:val="TableContents"/>
              <w:bidi w:val="0"/>
              <w:spacing w:lineRule="auto" w:line="285" w:before="1" w:after="1"/>
              <w:ind w:left="0" w:right="0" w:hanging="0"/>
              <w:jc w:val="right"/>
              <w:rPr>
                <w:rFonts w:ascii="Times New Roman;Times;serif" w:hAnsi="Times New Roman;Times;serif"/>
                <w:sz w:val="20"/>
              </w:rPr>
            </w:pPr>
            <w:r>
              <w:rPr>
                <w:rFonts w:ascii="Times New Roman;Times;serif" w:hAnsi="Times New Roman;Times;serif"/>
                <w:sz w:val="20"/>
              </w:rPr>
              <w:t>216,625</w:t>
            </w:r>
          </w:p>
        </w:tc>
        <w:tc>
          <w:tcPr>
            <w:tcW w:w="346" w:type="dxa"/>
            <w:tcBorders/>
            <w:vAlign w:val="center"/>
          </w:tcPr>
          <w:p>
            <w:pPr>
              <w:pStyle w:val="TableContents"/>
              <w:bidi w:val="0"/>
              <w:spacing w:lineRule="auto" w:line="285" w:before="0" w:after="0"/>
              <w:ind w:left="0" w:right="0" w:hanging="0"/>
              <w:jc w:val="left"/>
              <w:rPr/>
            </w:pPr>
            <w:r>
              <w:rPr/>
              <w:t>​</w:t>
            </w:r>
          </w:p>
        </w:tc>
        <w:tc>
          <w:tcPr>
            <w:tcW w:w="290" w:type="dxa"/>
            <w:tcBorders/>
            <w:vAlign w:val="center"/>
          </w:tcPr>
          <w:p>
            <w:pPr>
              <w:pStyle w:val="TableContents"/>
              <w:bidi w:val="0"/>
              <w:spacing w:lineRule="auto" w:line="285" w:before="0" w:after="0"/>
              <w:ind w:left="0" w:right="0" w:hanging="0"/>
              <w:jc w:val="left"/>
              <w:rPr/>
            </w:pPr>
            <w:r>
              <w:rPr/>
              <w:t>​</w:t>
            </w:r>
          </w:p>
        </w:tc>
        <w:tc>
          <w:tcPr>
            <w:tcW w:w="476" w:type="dxa"/>
            <w:tcBorders/>
            <w:vAlign w:val="center"/>
          </w:tcPr>
          <w:p>
            <w:pPr>
              <w:pStyle w:val="TableContents"/>
              <w:bidi w:val="0"/>
              <w:spacing w:lineRule="auto" w:line="285" w:before="1" w:after="1"/>
              <w:ind w:left="0" w:right="0" w:hanging="0"/>
              <w:jc w:val="righ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pPr>
            <w:r>
              <w:rPr/>
              <w:t>​</w:t>
            </w:r>
          </w:p>
        </w:tc>
        <w:tc>
          <w:tcPr>
            <w:tcW w:w="781" w:type="dxa"/>
            <w:tcBorders/>
            <w:vAlign w:val="center"/>
          </w:tcPr>
          <w:p>
            <w:pPr>
              <w:pStyle w:val="TableContents"/>
              <w:bidi w:val="0"/>
              <w:spacing w:lineRule="auto" w:line="285" w:before="1" w:after="1"/>
              <w:ind w:left="0" w:right="0" w:hanging="0"/>
              <w:jc w:val="right"/>
              <w:rPr>
                <w:rFonts w:ascii="Times New Roman;Times;serif" w:hAnsi="Times New Roman;Times;serif"/>
                <w:sz w:val="20"/>
              </w:rPr>
            </w:pPr>
            <w:r>
              <w:rPr>
                <w:rFonts w:ascii="Times New Roman;Times;serif" w:hAnsi="Times New Roman;Times;serif"/>
                <w:sz w:val="20"/>
              </w:rPr>
              <w:t>314</w:t>
            </w:r>
          </w:p>
        </w:tc>
        <w:tc>
          <w:tcPr>
            <w:tcW w:w="346" w:type="dxa"/>
            <w:tcBorders/>
            <w:vAlign w:val="center"/>
          </w:tcPr>
          <w:p>
            <w:pPr>
              <w:pStyle w:val="TableContents"/>
              <w:bidi w:val="0"/>
              <w:spacing w:lineRule="auto" w:line="285" w:before="0" w:after="0"/>
              <w:ind w:left="0" w:right="0" w:hanging="0"/>
              <w:jc w:val="left"/>
              <w:rPr/>
            </w:pPr>
            <w:r>
              <w:rPr/>
              <w:t>​</w:t>
            </w:r>
          </w:p>
        </w:tc>
        <w:tc>
          <w:tcPr>
            <w:tcW w:w="237" w:type="dxa"/>
            <w:tcBorders/>
            <w:vAlign w:val="center"/>
          </w:tcPr>
          <w:p>
            <w:pPr>
              <w:pStyle w:val="TableContents"/>
              <w:bidi w:val="0"/>
              <w:spacing w:lineRule="auto" w:line="285" w:before="0" w:after="0"/>
              <w:ind w:left="0" w:right="0" w:hanging="0"/>
              <w:jc w:val="left"/>
              <w:rPr/>
            </w:pPr>
            <w:r>
              <w:rPr/>
              <w:t>​</w:t>
            </w:r>
          </w:p>
        </w:tc>
        <w:tc>
          <w:tcPr>
            <w:tcW w:w="949" w:type="dxa"/>
            <w:tcBorders/>
            <w:vAlign w:val="center"/>
          </w:tcPr>
          <w:p>
            <w:pPr>
              <w:pStyle w:val="TableContents"/>
              <w:bidi w:val="0"/>
              <w:spacing w:lineRule="auto" w:line="285" w:before="1" w:after="1"/>
              <w:ind w:left="0" w:right="0" w:hanging="0"/>
              <w:jc w:val="righ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pPr>
            <w:r>
              <w:rPr/>
              <w:t>​</w:t>
            </w:r>
          </w:p>
        </w:tc>
        <w:tc>
          <w:tcPr>
            <w:tcW w:w="700" w:type="dxa"/>
            <w:tcBorders/>
            <w:vAlign w:val="center"/>
          </w:tcPr>
          <w:p>
            <w:pPr>
              <w:pStyle w:val="TableContents"/>
              <w:bidi w:val="0"/>
              <w:spacing w:lineRule="auto" w:line="285" w:before="1" w:after="1"/>
              <w:ind w:left="0" w:right="0" w:hanging="0"/>
              <w:jc w:val="right"/>
              <w:rPr>
                <w:rFonts w:ascii="Times New Roman;Times;serif" w:hAnsi="Times New Roman;Times;serif"/>
                <w:sz w:val="20"/>
              </w:rPr>
            </w:pPr>
            <w:r>
              <w:rPr>
                <w:rFonts w:ascii="Times New Roman;Times;serif" w:hAnsi="Times New Roman;Times;serif"/>
                <w:sz w:val="20"/>
              </w:rPr>
              <w:t>314</w:t>
            </w:r>
          </w:p>
        </w:tc>
      </w:tr>
      <w:tr>
        <w:trPr/>
        <w:tc>
          <w:tcPr>
            <w:tcW w:w="3689" w:type="dxa"/>
            <w:tcBorders/>
            <w:shd w:fill="CCEEFF" w:val="clear"/>
            <w:vAlign w:val="center"/>
          </w:tcPr>
          <w:p>
            <w:pPr>
              <w:pStyle w:val="TableContents"/>
              <w:bidi w:val="0"/>
              <w:spacing w:lineRule="auto" w:line="285" w:before="1" w:after="1"/>
              <w:ind w:left="0" w:right="0" w:hanging="0"/>
              <w:jc w:val="left"/>
              <w:rPr>
                <w:rFonts w:ascii="Times New Roman;Times;serif" w:hAnsi="Times New Roman;Times;serif"/>
                <w:sz w:val="20"/>
              </w:rPr>
            </w:pPr>
            <w:r>
              <w:rPr>
                <w:rFonts w:ascii="Times New Roman;Times;serif" w:hAnsi="Times New Roman;Times;serif"/>
                <w:sz w:val="20"/>
              </w:rPr>
              <w:t>Issuance of common stock for exercise of warrants</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931" w:type="dxa"/>
            <w:tcBorders/>
            <w:shd w:fill="CCEEFF" w:val="clear"/>
            <w:vAlign w:val="center"/>
          </w:tcPr>
          <w:p>
            <w:pPr>
              <w:pStyle w:val="TableContents"/>
              <w:bidi w:val="0"/>
              <w:spacing w:lineRule="auto" w:line="285" w:before="1" w:after="1"/>
              <w:ind w:left="0" w:right="0" w:hanging="0"/>
              <w:jc w:val="right"/>
              <w:rPr>
                <w:rFonts w:ascii="Times New Roman;Times;serif" w:hAnsi="Times New Roman;Times;serif"/>
                <w:sz w:val="20"/>
              </w:rPr>
            </w:pPr>
            <w:r>
              <w:rPr>
                <w:rFonts w:ascii="Times New Roman;Times;serif" w:hAnsi="Times New Roman;Times;serif"/>
                <w:sz w:val="20"/>
              </w:rPr>
              <w:t>1,630,964</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90" w:type="dxa"/>
            <w:tcBorders/>
            <w:shd w:fill="CCEEFF" w:val="clear"/>
            <w:vAlign w:val="center"/>
          </w:tcPr>
          <w:p>
            <w:pPr>
              <w:pStyle w:val="TableContents"/>
              <w:bidi w:val="0"/>
              <w:spacing w:lineRule="auto" w:line="285" w:before="0" w:after="0"/>
              <w:ind w:left="0" w:right="0" w:hanging="0"/>
              <w:jc w:val="left"/>
              <w:rPr/>
            </w:pPr>
            <w:r>
              <w:rPr/>
              <w:t>​</w:t>
            </w:r>
          </w:p>
        </w:tc>
        <w:tc>
          <w:tcPr>
            <w:tcW w:w="476" w:type="dxa"/>
            <w:tcBorders/>
            <w:shd w:fill="CCEEFF" w:val="clear"/>
            <w:vAlign w:val="center"/>
          </w:tcPr>
          <w:p>
            <w:pPr>
              <w:pStyle w:val="TableContents"/>
              <w:bidi w:val="0"/>
              <w:spacing w:lineRule="auto" w:line="285" w:before="1" w:after="1"/>
              <w:ind w:left="0" w:right="0" w:hanging="0"/>
              <w:jc w:val="right"/>
              <w:rPr>
                <w:rFonts w:ascii="Times New Roman;Times;serif" w:hAnsi="Times New Roman;Times;serif"/>
                <w:sz w:val="20"/>
              </w:rPr>
            </w:pPr>
            <w:r>
              <w:rPr>
                <w:rFonts w:ascii="Times New Roman;Times;serif" w:hAnsi="Times New Roman;Times;serif"/>
                <w:sz w:val="20"/>
              </w:rPr>
              <w:t>2</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pPr>
            <w:r>
              <w:rPr/>
              <w:t>​</w:t>
            </w:r>
          </w:p>
        </w:tc>
        <w:tc>
          <w:tcPr>
            <w:tcW w:w="781" w:type="dxa"/>
            <w:tcBorders/>
            <w:shd w:fill="CCEEFF" w:val="clear"/>
            <w:vAlign w:val="center"/>
          </w:tcPr>
          <w:p>
            <w:pPr>
              <w:pStyle w:val="TableContents"/>
              <w:bidi w:val="0"/>
              <w:spacing w:lineRule="auto" w:line="285" w:before="1" w:after="1"/>
              <w:ind w:left="0" w:right="0" w:hanging="0"/>
              <w:jc w:val="righ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37" w:type="dxa"/>
            <w:tcBorders/>
            <w:shd w:fill="CCEEFF" w:val="clear"/>
            <w:vAlign w:val="center"/>
          </w:tcPr>
          <w:p>
            <w:pPr>
              <w:pStyle w:val="TableContents"/>
              <w:bidi w:val="0"/>
              <w:spacing w:lineRule="auto" w:line="285" w:before="0" w:after="0"/>
              <w:ind w:left="0" w:right="0" w:hanging="0"/>
              <w:jc w:val="left"/>
              <w:rPr/>
            </w:pPr>
            <w:r>
              <w:rPr/>
              <w:t>​</w:t>
            </w:r>
          </w:p>
        </w:tc>
        <w:tc>
          <w:tcPr>
            <w:tcW w:w="949" w:type="dxa"/>
            <w:tcBorders/>
            <w:shd w:fill="CCEEFF" w:val="clear"/>
            <w:vAlign w:val="center"/>
          </w:tcPr>
          <w:p>
            <w:pPr>
              <w:pStyle w:val="TableContents"/>
              <w:bidi w:val="0"/>
              <w:spacing w:lineRule="auto" w:line="285" w:before="1" w:after="1"/>
              <w:ind w:left="0" w:right="0" w:hanging="0"/>
              <w:jc w:val="righ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pPr>
            <w:r>
              <w:rPr/>
              <w:t>​</w:t>
            </w:r>
          </w:p>
        </w:tc>
        <w:tc>
          <w:tcPr>
            <w:tcW w:w="700" w:type="dxa"/>
            <w:tcBorders/>
            <w:shd w:fill="CCEEFF" w:val="clear"/>
            <w:vAlign w:val="center"/>
          </w:tcPr>
          <w:p>
            <w:pPr>
              <w:pStyle w:val="TableContents"/>
              <w:bidi w:val="0"/>
              <w:spacing w:lineRule="auto" w:line="285" w:before="1" w:after="1"/>
              <w:ind w:left="0" w:right="0" w:hanging="0"/>
              <w:jc w:val="right"/>
              <w:rPr>
                <w:rFonts w:ascii="Times New Roman;Times;serif" w:hAnsi="Times New Roman;Times;serif"/>
                <w:sz w:val="20"/>
              </w:rPr>
            </w:pPr>
            <w:r>
              <w:rPr>
                <w:rFonts w:ascii="Times New Roman;Times;serif" w:hAnsi="Times New Roman;Times;serif"/>
                <w:sz w:val="20"/>
              </w:rPr>
              <w:t>2</w:t>
            </w:r>
          </w:p>
        </w:tc>
      </w:tr>
      <w:tr>
        <w:trPr/>
        <w:tc>
          <w:tcPr>
            <w:tcW w:w="3689" w:type="dxa"/>
            <w:tcBorders/>
            <w:vAlign w:val="center"/>
          </w:tcPr>
          <w:p>
            <w:pPr>
              <w:pStyle w:val="TableContents"/>
              <w:bidi w:val="0"/>
              <w:spacing w:lineRule="auto" w:line="285" w:before="1" w:after="1"/>
              <w:ind w:left="0" w:right="0" w:hanging="0"/>
              <w:jc w:val="left"/>
              <w:rPr>
                <w:rFonts w:ascii="Times New Roman;Times;serif" w:hAnsi="Times New Roman;Times;serif"/>
                <w:sz w:val="20"/>
              </w:rPr>
            </w:pPr>
            <w:r>
              <w:rPr>
                <w:rFonts w:ascii="Times New Roman;Times;serif" w:hAnsi="Times New Roman;Times;serif"/>
                <w:sz w:val="20"/>
              </w:rPr>
              <w:t>Issuance of common stock for vested restricted stock units, net of shares withheld for withholding taxes</w:t>
            </w:r>
          </w:p>
        </w:tc>
        <w:tc>
          <w:tcPr>
            <w:tcW w:w="346" w:type="dxa"/>
            <w:tcBorders/>
            <w:vAlign w:val="center"/>
          </w:tcPr>
          <w:p>
            <w:pPr>
              <w:pStyle w:val="TableContents"/>
              <w:bidi w:val="0"/>
              <w:spacing w:lineRule="auto" w:line="285" w:before="0" w:after="0"/>
              <w:ind w:left="0" w:right="0" w:hanging="0"/>
              <w:jc w:val="left"/>
              <w:rPr/>
            </w:pPr>
            <w:r>
              <w:rPr/>
              <w:t>​</w:t>
            </w:r>
          </w:p>
        </w:tc>
        <w:tc>
          <w:tcPr>
            <w:tcW w:w="931" w:type="dxa"/>
            <w:tcBorders/>
            <w:vAlign w:val="center"/>
          </w:tcPr>
          <w:p>
            <w:pPr>
              <w:pStyle w:val="TableContents"/>
              <w:bidi w:val="0"/>
              <w:spacing w:lineRule="auto" w:line="285" w:before="1" w:after="1"/>
              <w:ind w:left="0" w:right="0" w:hanging="0"/>
              <w:jc w:val="right"/>
              <w:rPr>
                <w:rFonts w:ascii="Times New Roman;Times;serif" w:hAnsi="Times New Roman;Times;serif"/>
                <w:sz w:val="20"/>
              </w:rPr>
            </w:pPr>
            <w:r>
              <w:rPr>
                <w:rFonts w:ascii="Times New Roman;Times;serif" w:hAnsi="Times New Roman;Times;serif"/>
                <w:sz w:val="20"/>
              </w:rPr>
              <w:t>1,617</w:t>
            </w:r>
          </w:p>
        </w:tc>
        <w:tc>
          <w:tcPr>
            <w:tcW w:w="346" w:type="dxa"/>
            <w:tcBorders/>
            <w:vAlign w:val="center"/>
          </w:tcPr>
          <w:p>
            <w:pPr>
              <w:pStyle w:val="TableContents"/>
              <w:bidi w:val="0"/>
              <w:spacing w:lineRule="auto" w:line="285" w:before="0" w:after="0"/>
              <w:ind w:left="0" w:right="0" w:hanging="0"/>
              <w:jc w:val="left"/>
              <w:rPr/>
            </w:pPr>
            <w:r>
              <w:rPr/>
              <w:t>​</w:t>
            </w:r>
          </w:p>
        </w:tc>
        <w:tc>
          <w:tcPr>
            <w:tcW w:w="290" w:type="dxa"/>
            <w:tcBorders/>
            <w:vAlign w:val="center"/>
          </w:tcPr>
          <w:p>
            <w:pPr>
              <w:pStyle w:val="TableContents"/>
              <w:bidi w:val="0"/>
              <w:spacing w:lineRule="auto" w:line="285" w:before="0" w:after="0"/>
              <w:ind w:left="0" w:right="0" w:hanging="0"/>
              <w:jc w:val="left"/>
              <w:rPr/>
            </w:pPr>
            <w:r>
              <w:rPr/>
              <w:t>​</w:t>
            </w:r>
          </w:p>
        </w:tc>
        <w:tc>
          <w:tcPr>
            <w:tcW w:w="476" w:type="dxa"/>
            <w:tcBorders/>
            <w:vAlign w:val="center"/>
          </w:tcPr>
          <w:p>
            <w:pPr>
              <w:pStyle w:val="TableContents"/>
              <w:bidi w:val="0"/>
              <w:spacing w:lineRule="auto" w:line="285" w:before="1" w:after="1"/>
              <w:ind w:left="0" w:right="0" w:hanging="0"/>
              <w:jc w:val="righ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pPr>
            <w:r>
              <w:rPr/>
              <w:t>​</w:t>
            </w:r>
          </w:p>
        </w:tc>
        <w:tc>
          <w:tcPr>
            <w:tcW w:w="781" w:type="dxa"/>
            <w:tcBorders/>
            <w:vAlign w:val="center"/>
          </w:tcPr>
          <w:p>
            <w:pPr>
              <w:pStyle w:val="TableContents"/>
              <w:bidi w:val="0"/>
              <w:spacing w:lineRule="auto" w:line="285" w:before="1" w:after="1"/>
              <w:ind w:left="0" w:right="0" w:hanging="0"/>
              <w:jc w:val="righ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237" w:type="dxa"/>
            <w:tcBorders/>
            <w:vAlign w:val="center"/>
          </w:tcPr>
          <w:p>
            <w:pPr>
              <w:pStyle w:val="TableContents"/>
              <w:bidi w:val="0"/>
              <w:spacing w:lineRule="auto" w:line="285" w:before="0" w:after="0"/>
              <w:ind w:left="0" w:right="0" w:hanging="0"/>
              <w:jc w:val="left"/>
              <w:rPr/>
            </w:pPr>
            <w:r>
              <w:rPr/>
              <w:t>​</w:t>
            </w:r>
          </w:p>
        </w:tc>
        <w:tc>
          <w:tcPr>
            <w:tcW w:w="949" w:type="dxa"/>
            <w:tcBorders/>
            <w:vAlign w:val="center"/>
          </w:tcPr>
          <w:p>
            <w:pPr>
              <w:pStyle w:val="TableContents"/>
              <w:bidi w:val="0"/>
              <w:spacing w:lineRule="auto" w:line="285" w:before="1" w:after="1"/>
              <w:ind w:left="0" w:right="0" w:hanging="0"/>
              <w:jc w:val="righ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pPr>
            <w:r>
              <w:rPr/>
              <w:t>​</w:t>
            </w:r>
          </w:p>
        </w:tc>
        <w:tc>
          <w:tcPr>
            <w:tcW w:w="700" w:type="dxa"/>
            <w:tcBorders/>
            <w:vAlign w:val="center"/>
          </w:tcPr>
          <w:p>
            <w:pPr>
              <w:pStyle w:val="TableContents"/>
              <w:bidi w:val="0"/>
              <w:spacing w:lineRule="auto" w:line="285" w:before="1" w:after="1"/>
              <w:ind w:left="0" w:right="0" w:hanging="0"/>
              <w:jc w:val="right"/>
              <w:rPr/>
            </w:pPr>
            <w:r>
              <w:rPr/>
              <w:t>—</w:t>
            </w:r>
          </w:p>
        </w:tc>
      </w:tr>
      <w:tr>
        <w:trPr/>
        <w:tc>
          <w:tcPr>
            <w:tcW w:w="3689" w:type="dxa"/>
            <w:tcBorders/>
            <w:shd w:fill="CCEEFF" w:val="clear"/>
            <w:vAlign w:val="center"/>
          </w:tcPr>
          <w:p>
            <w:pPr>
              <w:pStyle w:val="TableContents"/>
              <w:bidi w:val="0"/>
              <w:spacing w:lineRule="auto" w:line="285" w:before="1" w:after="1"/>
              <w:ind w:left="0" w:right="0" w:hanging="0"/>
              <w:jc w:val="left"/>
              <w:rPr>
                <w:rFonts w:ascii="Times New Roman;Times;serif" w:hAnsi="Times New Roman;Times;serif"/>
                <w:sz w:val="20"/>
              </w:rPr>
            </w:pPr>
            <w:r>
              <w:rPr>
                <w:rFonts w:ascii="Times New Roman;Times;serif" w:hAnsi="Times New Roman;Times;serif"/>
                <w:sz w:val="20"/>
              </w:rPr>
              <w:t>Stock-based compensation </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931" w:type="dxa"/>
            <w:tcBorders/>
            <w:shd w:fill="CCEEFF" w:val="clear"/>
            <w:vAlign w:val="center"/>
          </w:tcPr>
          <w:p>
            <w:pPr>
              <w:pStyle w:val="TableContents"/>
              <w:bidi w:val="0"/>
              <w:spacing w:lineRule="auto" w:line="285" w:before="1" w:after="1"/>
              <w:ind w:left="0" w:right="0" w:hanging="0"/>
              <w:jc w:val="righ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90" w:type="dxa"/>
            <w:tcBorders/>
            <w:shd w:fill="CCEEFF" w:val="clear"/>
            <w:vAlign w:val="center"/>
          </w:tcPr>
          <w:p>
            <w:pPr>
              <w:pStyle w:val="TableContents"/>
              <w:bidi w:val="0"/>
              <w:spacing w:lineRule="auto" w:line="285" w:before="0" w:after="0"/>
              <w:ind w:left="0" w:right="0" w:hanging="0"/>
              <w:jc w:val="left"/>
              <w:rPr/>
            </w:pPr>
            <w:r>
              <w:rPr/>
              <w:t>​</w:t>
            </w:r>
          </w:p>
        </w:tc>
        <w:tc>
          <w:tcPr>
            <w:tcW w:w="476" w:type="dxa"/>
            <w:tcBorders/>
            <w:shd w:fill="CCEEFF" w:val="clear"/>
            <w:vAlign w:val="center"/>
          </w:tcPr>
          <w:p>
            <w:pPr>
              <w:pStyle w:val="TableContents"/>
              <w:bidi w:val="0"/>
              <w:spacing w:lineRule="auto" w:line="285" w:before="1" w:after="1"/>
              <w:ind w:left="0" w:right="0" w:hanging="0"/>
              <w:jc w:val="righ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pPr>
            <w:r>
              <w:rPr/>
              <w:t>​</w:t>
            </w:r>
          </w:p>
        </w:tc>
        <w:tc>
          <w:tcPr>
            <w:tcW w:w="781" w:type="dxa"/>
            <w:tcBorders/>
            <w:shd w:fill="CCEEFF" w:val="clear"/>
            <w:vAlign w:val="center"/>
          </w:tcPr>
          <w:p>
            <w:pPr>
              <w:pStyle w:val="TableContents"/>
              <w:bidi w:val="0"/>
              <w:spacing w:lineRule="auto" w:line="285" w:before="1" w:after="1"/>
              <w:ind w:left="0" w:right="0" w:hanging="0"/>
              <w:jc w:val="right"/>
              <w:rPr>
                <w:rFonts w:ascii="Times New Roman;Times;serif" w:hAnsi="Times New Roman;Times;serif"/>
                <w:sz w:val="20"/>
              </w:rPr>
            </w:pPr>
            <w:r>
              <w:rPr>
                <w:rFonts w:ascii="Times New Roman;Times;serif" w:hAnsi="Times New Roman;Times;serif"/>
                <w:sz w:val="20"/>
              </w:rPr>
              <w:t>100</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37" w:type="dxa"/>
            <w:tcBorders/>
            <w:shd w:fill="CCEEFF" w:val="clear"/>
            <w:vAlign w:val="center"/>
          </w:tcPr>
          <w:p>
            <w:pPr>
              <w:pStyle w:val="TableContents"/>
              <w:bidi w:val="0"/>
              <w:spacing w:lineRule="auto" w:line="285" w:before="0" w:after="0"/>
              <w:ind w:left="0" w:right="0" w:hanging="0"/>
              <w:jc w:val="left"/>
              <w:rPr/>
            </w:pPr>
            <w:r>
              <w:rPr/>
              <w:t>​</w:t>
            </w:r>
          </w:p>
        </w:tc>
        <w:tc>
          <w:tcPr>
            <w:tcW w:w="949" w:type="dxa"/>
            <w:tcBorders/>
            <w:shd w:fill="CCEEFF" w:val="clear"/>
            <w:vAlign w:val="center"/>
          </w:tcPr>
          <w:p>
            <w:pPr>
              <w:pStyle w:val="TableContents"/>
              <w:bidi w:val="0"/>
              <w:spacing w:lineRule="auto" w:line="285" w:before="1" w:after="1"/>
              <w:ind w:left="0" w:right="0" w:hanging="0"/>
              <w:jc w:val="righ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pPr>
            <w:r>
              <w:rPr/>
              <w:t>​</w:t>
            </w:r>
          </w:p>
        </w:tc>
        <w:tc>
          <w:tcPr>
            <w:tcW w:w="700" w:type="dxa"/>
            <w:tcBorders/>
            <w:shd w:fill="CCEEFF" w:val="clear"/>
            <w:vAlign w:val="center"/>
          </w:tcPr>
          <w:p>
            <w:pPr>
              <w:pStyle w:val="TableContents"/>
              <w:bidi w:val="0"/>
              <w:spacing w:lineRule="auto" w:line="285" w:before="1" w:after="1"/>
              <w:ind w:left="0" w:right="0" w:hanging="0"/>
              <w:jc w:val="right"/>
              <w:rPr>
                <w:rFonts w:ascii="Times New Roman;Times;serif" w:hAnsi="Times New Roman;Times;serif"/>
                <w:sz w:val="20"/>
              </w:rPr>
            </w:pPr>
            <w:r>
              <w:rPr>
                <w:rFonts w:ascii="Times New Roman;Times;serif" w:hAnsi="Times New Roman;Times;serif"/>
                <w:sz w:val="20"/>
              </w:rPr>
              <w:t>100</w:t>
            </w:r>
          </w:p>
        </w:tc>
      </w:tr>
      <w:tr>
        <w:trPr/>
        <w:tc>
          <w:tcPr>
            <w:tcW w:w="3689" w:type="dxa"/>
            <w:tcBorders>
              <w:bottom w:val="single" w:sz="2" w:space="0" w:color="000000"/>
            </w:tcBorders>
            <w:tcMar>
              <w:bottom w:w="28" w:type="dxa"/>
            </w:tcMar>
            <w:vAlign w:val="center"/>
          </w:tcPr>
          <w:p>
            <w:pPr>
              <w:pStyle w:val="TableContents"/>
              <w:bidi w:val="0"/>
              <w:spacing w:lineRule="auto" w:line="285" w:before="1" w:after="1"/>
              <w:ind w:left="0" w:right="0" w:hanging="0"/>
              <w:jc w:val="left"/>
              <w:rPr>
                <w:rFonts w:ascii="Times New Roman;Times;serif" w:hAnsi="Times New Roman;Times;serif"/>
                <w:sz w:val="20"/>
              </w:rPr>
            </w:pPr>
            <w:r>
              <w:rPr>
                <w:rFonts w:ascii="Times New Roman;Times;serif" w:hAnsi="Times New Roman;Times;serif"/>
                <w:sz w:val="20"/>
              </w:rPr>
              <w:t>Net loss</w:t>
            </w:r>
          </w:p>
        </w:tc>
        <w:tc>
          <w:tcPr>
            <w:tcW w:w="346"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lineRule="auto" w:line="285" w:before="1" w:after="1"/>
              <w:ind w:left="0" w:right="0" w:hanging="0"/>
              <w:jc w:val="right"/>
              <w:rPr/>
            </w:pPr>
            <w:r>
              <w:rPr/>
              <w:t>—</w:t>
            </w:r>
          </w:p>
        </w:tc>
        <w:tc>
          <w:tcPr>
            <w:tcW w:w="346"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290"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476" w:type="dxa"/>
            <w:tcBorders>
              <w:bottom w:val="single" w:sz="2" w:space="0" w:color="000000"/>
            </w:tcBorders>
            <w:tcMar>
              <w:bottom w:w="28" w:type="dxa"/>
            </w:tcMar>
            <w:vAlign w:val="center"/>
          </w:tcPr>
          <w:p>
            <w:pPr>
              <w:pStyle w:val="TableContents"/>
              <w:bidi w:val="0"/>
              <w:spacing w:lineRule="auto" w:line="285" w:before="1" w:after="1"/>
              <w:ind w:left="0" w:right="0" w:hanging="0"/>
              <w:jc w:val="right"/>
              <w:rPr/>
            </w:pPr>
            <w:r>
              <w:rPr/>
              <w:t>—</w:t>
            </w:r>
          </w:p>
        </w:tc>
        <w:tc>
          <w:tcPr>
            <w:tcW w:w="346"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lineRule="auto" w:line="285" w:before="1" w:after="1"/>
              <w:ind w:left="0" w:right="0" w:hanging="0"/>
              <w:jc w:val="right"/>
              <w:rPr/>
            </w:pPr>
            <w:r>
              <w:rPr/>
              <w:t>—</w:t>
            </w:r>
          </w:p>
        </w:tc>
        <w:tc>
          <w:tcPr>
            <w:tcW w:w="346"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237"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949" w:type="dxa"/>
            <w:tcBorders>
              <w:bottom w:val="single" w:sz="2" w:space="0" w:color="000000"/>
            </w:tcBorders>
            <w:tcMar>
              <w:bottom w:w="28" w:type="dxa"/>
            </w:tcMar>
            <w:vAlign w:val="center"/>
          </w:tcPr>
          <w:p>
            <w:pPr>
              <w:pStyle w:val="TableContents"/>
              <w:bidi w:val="0"/>
              <w:spacing w:lineRule="auto" w:line="285" w:before="1" w:after="1"/>
              <w:ind w:left="0" w:right="0" w:hanging="0"/>
              <w:jc w:val="right"/>
              <w:rPr>
                <w:rFonts w:ascii="Times New Roman;Times;serif" w:hAnsi="Times New Roman;Times;serif"/>
                <w:sz w:val="20"/>
              </w:rPr>
            </w:pPr>
            <w:r>
              <w:rPr>
                <w:rFonts w:ascii="Times New Roman;Times;serif" w:hAnsi="Times New Roman;Times;serif"/>
                <w:sz w:val="20"/>
              </w:rPr>
              <w:t>(3,823)</w:t>
            </w:r>
          </w:p>
        </w:tc>
        <w:tc>
          <w:tcPr>
            <w:tcW w:w="346"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700" w:type="dxa"/>
            <w:tcBorders>
              <w:bottom w:val="single" w:sz="2" w:space="0" w:color="000000"/>
            </w:tcBorders>
            <w:tcMar>
              <w:bottom w:w="28" w:type="dxa"/>
            </w:tcMar>
            <w:vAlign w:val="center"/>
          </w:tcPr>
          <w:p>
            <w:pPr>
              <w:pStyle w:val="TableContents"/>
              <w:bidi w:val="0"/>
              <w:spacing w:lineRule="auto" w:line="285" w:before="1" w:after="1"/>
              <w:ind w:left="0" w:right="0" w:hanging="0"/>
              <w:jc w:val="right"/>
              <w:rPr>
                <w:rFonts w:ascii="Times New Roman;Times;serif" w:hAnsi="Times New Roman;Times;serif"/>
                <w:sz w:val="20"/>
              </w:rPr>
            </w:pPr>
            <w:r>
              <w:rPr>
                <w:rFonts w:ascii="Times New Roman;Times;serif" w:hAnsi="Times New Roman;Times;serif"/>
                <w:sz w:val="20"/>
              </w:rPr>
              <w:t>(3,823)</w:t>
            </w:r>
          </w:p>
        </w:tc>
      </w:tr>
      <w:tr>
        <w:trPr/>
        <w:tc>
          <w:tcPr>
            <w:tcW w:w="3689" w:type="dxa"/>
            <w:tcBorders/>
            <w:shd w:fill="CCEEFF" w:val="clear"/>
            <w:vAlign w:val="center"/>
          </w:tcPr>
          <w:p>
            <w:pPr>
              <w:pStyle w:val="TableContents"/>
              <w:bidi w:val="0"/>
              <w:spacing w:lineRule="auto" w:line="285" w:before="1" w:after="1"/>
              <w:ind w:left="0" w:right="0" w:hanging="0"/>
              <w:jc w:val="left"/>
              <w:rPr>
                <w:rFonts w:ascii="Times New Roman;Times;serif" w:hAnsi="Times New Roman;Times;serif"/>
                <w:sz w:val="20"/>
              </w:rPr>
            </w:pPr>
            <w:r>
              <w:rPr>
                <w:rFonts w:ascii="Times New Roman;Times;serif" w:hAnsi="Times New Roman;Times;serif"/>
                <w:sz w:val="20"/>
              </w:rPr>
              <w:t>As of March 31, 2026</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931" w:type="dxa"/>
            <w:tcBorders/>
            <w:shd w:fill="CCEEFF" w:val="clear"/>
            <w:vAlign w:val="center"/>
          </w:tcPr>
          <w:p>
            <w:pPr>
              <w:pStyle w:val="TableContents"/>
              <w:bidi w:val="0"/>
              <w:spacing w:lineRule="auto" w:line="285" w:before="1" w:after="1"/>
              <w:ind w:left="0" w:right="0" w:hanging="0"/>
              <w:jc w:val="right"/>
              <w:rPr>
                <w:rFonts w:ascii="Times New Roman;Times;serif" w:hAnsi="Times New Roman;Times;serif"/>
                <w:sz w:val="20"/>
              </w:rPr>
            </w:pPr>
            <w:r>
              <w:rPr>
                <w:rFonts w:ascii="Times New Roman;Times;serif" w:hAnsi="Times New Roman;Times;serif"/>
                <w:sz w:val="20"/>
              </w:rPr>
              <w:t>5,164,370</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90" w:type="dxa"/>
            <w:tcBorders/>
            <w:shd w:fill="CCEEFF" w:val="clear"/>
            <w:vAlign w:val="center"/>
          </w:tcPr>
          <w:p>
            <w:pPr>
              <w:pStyle w:val="TableContents"/>
              <w:bidi w:val="0"/>
              <w:spacing w:lineRule="auto" w:line="285" w:before="0" w:after="0"/>
              <w:ind w:left="0" w:right="0" w:hanging="0"/>
              <w:jc w:val="left"/>
              <w:rPr/>
            </w:pPr>
            <w:r>
              <w:rPr/>
              <w:t>​</w:t>
            </w:r>
          </w:p>
        </w:tc>
        <w:tc>
          <w:tcPr>
            <w:tcW w:w="476" w:type="dxa"/>
            <w:tcBorders/>
            <w:shd w:fill="CCEEFF" w:val="clear"/>
            <w:vAlign w:val="center"/>
          </w:tcPr>
          <w:p>
            <w:pPr>
              <w:pStyle w:val="TableContents"/>
              <w:bidi w:val="0"/>
              <w:spacing w:lineRule="auto" w:line="285" w:before="1" w:after="1"/>
              <w:ind w:left="0" w:right="0" w:hanging="0"/>
              <w:jc w:val="right"/>
              <w:rPr>
                <w:rFonts w:ascii="Times New Roman;Times;serif" w:hAnsi="Times New Roman;Times;serif"/>
                <w:sz w:val="20"/>
              </w:rPr>
            </w:pPr>
            <w:r>
              <w:rPr>
                <w:rFonts w:ascii="Times New Roman;Times;serif" w:hAnsi="Times New Roman;Times;serif"/>
                <w:sz w:val="20"/>
              </w:rPr>
              <w:t>5</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pPr>
            <w:r>
              <w:rPr/>
              <w:t>​</w:t>
            </w:r>
          </w:p>
        </w:tc>
        <w:tc>
          <w:tcPr>
            <w:tcW w:w="781" w:type="dxa"/>
            <w:tcBorders/>
            <w:shd w:fill="CCEEFF" w:val="clear"/>
            <w:vAlign w:val="center"/>
          </w:tcPr>
          <w:p>
            <w:pPr>
              <w:pStyle w:val="TableContents"/>
              <w:bidi w:val="0"/>
              <w:spacing w:lineRule="auto" w:line="285" w:before="1" w:after="1"/>
              <w:ind w:left="0" w:right="0" w:hanging="0"/>
              <w:jc w:val="right"/>
              <w:rPr>
                <w:rFonts w:ascii="Times New Roman;Times;serif" w:hAnsi="Times New Roman;Times;serif"/>
                <w:sz w:val="20"/>
              </w:rPr>
            </w:pPr>
            <w:r>
              <w:rPr>
                <w:rFonts w:ascii="Times New Roman;Times;serif" w:hAnsi="Times New Roman;Times;serif"/>
                <w:sz w:val="20"/>
              </w:rPr>
              <w:t>161,721</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37" w:type="dxa"/>
            <w:tcBorders/>
            <w:shd w:fill="CCEEFF" w:val="clear"/>
            <w:vAlign w:val="center"/>
          </w:tcPr>
          <w:p>
            <w:pPr>
              <w:pStyle w:val="TableContents"/>
              <w:bidi w:val="0"/>
              <w:spacing w:lineRule="auto" w:line="285" w:before="0" w:after="0"/>
              <w:ind w:left="0" w:right="0" w:hanging="0"/>
              <w:jc w:val="left"/>
              <w:rPr/>
            </w:pPr>
            <w:r>
              <w:rPr/>
              <w:t>​</w:t>
            </w:r>
          </w:p>
        </w:tc>
        <w:tc>
          <w:tcPr>
            <w:tcW w:w="949" w:type="dxa"/>
            <w:tcBorders/>
            <w:shd w:fill="CCEEFF" w:val="clear"/>
            <w:vAlign w:val="center"/>
          </w:tcPr>
          <w:p>
            <w:pPr>
              <w:pStyle w:val="TableContents"/>
              <w:bidi w:val="0"/>
              <w:spacing w:lineRule="auto" w:line="285" w:before="1" w:after="1"/>
              <w:ind w:left="0" w:right="0" w:hanging="0"/>
              <w:jc w:val="right"/>
              <w:rPr>
                <w:rFonts w:ascii="Times New Roman;Times;serif" w:hAnsi="Times New Roman;Times;serif"/>
                <w:sz w:val="20"/>
              </w:rPr>
            </w:pPr>
            <w:r>
              <w:rPr>
                <w:rFonts w:ascii="Times New Roman;Times;serif" w:hAnsi="Times New Roman;Times;serif"/>
                <w:sz w:val="20"/>
              </w:rPr>
              <w:t>(152,653)</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pPr>
            <w:r>
              <w:rPr/>
              <w:t>​</w:t>
            </w:r>
          </w:p>
        </w:tc>
        <w:tc>
          <w:tcPr>
            <w:tcW w:w="700" w:type="dxa"/>
            <w:tcBorders/>
            <w:shd w:fill="CCEEFF" w:val="clear"/>
            <w:vAlign w:val="center"/>
          </w:tcPr>
          <w:p>
            <w:pPr>
              <w:pStyle w:val="TableContents"/>
              <w:bidi w:val="0"/>
              <w:spacing w:lineRule="auto" w:line="285" w:before="1" w:after="1"/>
              <w:ind w:left="0" w:right="0" w:hanging="0"/>
              <w:jc w:val="right"/>
              <w:rPr>
                <w:rFonts w:ascii="Times New Roman;Times;serif" w:hAnsi="Times New Roman;Times;serif"/>
                <w:sz w:val="20"/>
              </w:rPr>
            </w:pPr>
            <w:r>
              <w:rPr>
                <w:rFonts w:ascii="Times New Roman;Times;serif" w:hAnsi="Times New Roman;Times;serif"/>
                <w:sz w:val="20"/>
              </w:rPr>
              <w:t>9,073</w:t>
            </w:r>
          </w:p>
        </w:tc>
      </w:tr>
      <w:tr>
        <w:trPr/>
        <w:tc>
          <w:tcPr>
            <w:tcW w:w="3689" w:type="dxa"/>
            <w:tcBorders/>
            <w:vAlign w:val="center"/>
          </w:tcPr>
          <w:p>
            <w:pPr>
              <w:pStyle w:val="TableContents"/>
              <w:bidi w:val="0"/>
              <w:spacing w:lineRule="auto" w:line="285" w:before="1" w:after="1"/>
              <w:ind w:left="0" w:right="0" w:hanging="0"/>
              <w:jc w:val="left"/>
              <w:rPr>
                <w:rFonts w:ascii="Times New Roman;Times;serif" w:hAnsi="Times New Roman;Times;serif"/>
                <w:color w:val="212529"/>
                <w:sz w:val="20"/>
              </w:rPr>
            </w:pPr>
            <w:r>
              <w:rPr>
                <w:rFonts w:ascii="Times New Roman;Times;serif" w:hAnsi="Times New Roman;Times;serif"/>
                <w:color w:val="212529"/>
                <w:sz w:val="20"/>
              </w:rPr>
              <w:t>Underwritten public offering issuance costs</w:t>
            </w:r>
          </w:p>
        </w:tc>
        <w:tc>
          <w:tcPr>
            <w:tcW w:w="346" w:type="dxa"/>
            <w:tcBorders/>
            <w:vAlign w:val="center"/>
          </w:tcPr>
          <w:p>
            <w:pPr>
              <w:pStyle w:val="TableContents"/>
              <w:bidi w:val="0"/>
              <w:spacing w:lineRule="auto" w:line="285" w:before="0" w:after="0"/>
              <w:ind w:left="0" w:right="0" w:hanging="0"/>
              <w:jc w:val="left"/>
              <w:rPr/>
            </w:pPr>
            <w:r>
              <w:rPr/>
              <w:t>​</w:t>
            </w:r>
          </w:p>
        </w:tc>
        <w:tc>
          <w:tcPr>
            <w:tcW w:w="931" w:type="dxa"/>
            <w:tcBorders/>
            <w:vAlign w:val="center"/>
          </w:tcPr>
          <w:p>
            <w:pPr>
              <w:pStyle w:val="TableContents"/>
              <w:bidi w:val="0"/>
              <w:spacing w:lineRule="auto" w:line="285" w:before="1" w:after="1"/>
              <w:ind w:left="0" w:right="0" w:hanging="0"/>
              <w:jc w:val="righ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290" w:type="dxa"/>
            <w:tcBorders/>
            <w:vAlign w:val="center"/>
          </w:tcPr>
          <w:p>
            <w:pPr>
              <w:pStyle w:val="TableContents"/>
              <w:bidi w:val="0"/>
              <w:spacing w:lineRule="auto" w:line="285" w:before="0" w:after="0"/>
              <w:ind w:left="0" w:right="0" w:hanging="0"/>
              <w:jc w:val="left"/>
              <w:rPr/>
            </w:pPr>
            <w:r>
              <w:rPr/>
              <w:t>​</w:t>
            </w:r>
          </w:p>
        </w:tc>
        <w:tc>
          <w:tcPr>
            <w:tcW w:w="476" w:type="dxa"/>
            <w:tcBorders/>
            <w:vAlign w:val="center"/>
          </w:tcPr>
          <w:p>
            <w:pPr>
              <w:pStyle w:val="TableContents"/>
              <w:bidi w:val="0"/>
              <w:spacing w:lineRule="auto" w:line="285" w:before="1" w:after="1"/>
              <w:ind w:left="0" w:right="0" w:hanging="0"/>
              <w:jc w:val="righ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pPr>
            <w:r>
              <w:rPr/>
              <w:t>​</w:t>
            </w:r>
          </w:p>
        </w:tc>
        <w:tc>
          <w:tcPr>
            <w:tcW w:w="781" w:type="dxa"/>
            <w:tcBorders/>
            <w:vAlign w:val="center"/>
          </w:tcPr>
          <w:p>
            <w:pPr>
              <w:pStyle w:val="TableContents"/>
              <w:bidi w:val="0"/>
              <w:spacing w:lineRule="auto" w:line="285" w:before="1" w:after="1"/>
              <w:ind w:left="0" w:right="0" w:hanging="0"/>
              <w:jc w:val="right"/>
              <w:rPr>
                <w:rFonts w:ascii="Times New Roman;Times;serif" w:hAnsi="Times New Roman;Times;serif"/>
                <w:sz w:val="20"/>
              </w:rPr>
            </w:pPr>
            <w:r>
              <w:rPr>
                <w:rFonts w:ascii="Times New Roman;Times;serif" w:hAnsi="Times New Roman;Times;serif"/>
                <w:sz w:val="20"/>
              </w:rPr>
              <w:t>(10)</w:t>
            </w:r>
          </w:p>
        </w:tc>
        <w:tc>
          <w:tcPr>
            <w:tcW w:w="346" w:type="dxa"/>
            <w:tcBorders/>
            <w:vAlign w:val="center"/>
          </w:tcPr>
          <w:p>
            <w:pPr>
              <w:pStyle w:val="TableContents"/>
              <w:bidi w:val="0"/>
              <w:spacing w:lineRule="auto" w:line="285" w:before="0" w:after="0"/>
              <w:ind w:left="0" w:right="0" w:hanging="0"/>
              <w:jc w:val="left"/>
              <w:rPr/>
            </w:pPr>
            <w:r>
              <w:rPr/>
              <w:t>​</w:t>
            </w:r>
          </w:p>
        </w:tc>
        <w:tc>
          <w:tcPr>
            <w:tcW w:w="237" w:type="dxa"/>
            <w:tcBorders/>
            <w:vAlign w:val="center"/>
          </w:tcPr>
          <w:p>
            <w:pPr>
              <w:pStyle w:val="TableContents"/>
              <w:bidi w:val="0"/>
              <w:spacing w:lineRule="auto" w:line="285" w:before="0" w:after="0"/>
              <w:ind w:left="0" w:right="0" w:hanging="0"/>
              <w:jc w:val="left"/>
              <w:rPr/>
            </w:pPr>
            <w:r>
              <w:rPr/>
              <w:t>​</w:t>
            </w:r>
          </w:p>
        </w:tc>
        <w:tc>
          <w:tcPr>
            <w:tcW w:w="949" w:type="dxa"/>
            <w:tcBorders/>
            <w:vAlign w:val="center"/>
          </w:tcPr>
          <w:p>
            <w:pPr>
              <w:pStyle w:val="TableContents"/>
              <w:bidi w:val="0"/>
              <w:spacing w:lineRule="auto" w:line="285" w:before="1" w:after="1"/>
              <w:ind w:left="0" w:right="0" w:hanging="0"/>
              <w:jc w:val="righ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pPr>
            <w:r>
              <w:rPr/>
              <w:t>​</w:t>
            </w:r>
          </w:p>
        </w:tc>
        <w:tc>
          <w:tcPr>
            <w:tcW w:w="700" w:type="dxa"/>
            <w:tcBorders/>
            <w:vAlign w:val="center"/>
          </w:tcPr>
          <w:p>
            <w:pPr>
              <w:pStyle w:val="TableContents"/>
              <w:bidi w:val="0"/>
              <w:spacing w:lineRule="auto" w:line="285" w:before="1" w:after="1"/>
              <w:ind w:left="0" w:right="0" w:hanging="0"/>
              <w:jc w:val="right"/>
              <w:rPr>
                <w:rFonts w:ascii="Times New Roman;Times;serif" w:hAnsi="Times New Roman;Times;serif"/>
                <w:sz w:val="20"/>
              </w:rPr>
            </w:pPr>
            <w:r>
              <w:rPr>
                <w:rFonts w:ascii="Times New Roman;Times;serif" w:hAnsi="Times New Roman;Times;serif"/>
                <w:sz w:val="20"/>
              </w:rPr>
              <w:t>(10)</w:t>
            </w:r>
          </w:p>
        </w:tc>
      </w:tr>
      <w:tr>
        <w:trPr/>
        <w:tc>
          <w:tcPr>
            <w:tcW w:w="3689" w:type="dxa"/>
            <w:tcBorders/>
            <w:shd w:fill="CCEEFF" w:val="clear"/>
            <w:vAlign w:val="center"/>
          </w:tcPr>
          <w:p>
            <w:pPr>
              <w:pStyle w:val="TableContents"/>
              <w:bidi w:val="0"/>
              <w:spacing w:lineRule="auto" w:line="285" w:before="1" w:after="1"/>
              <w:ind w:left="0" w:right="0" w:hanging="0"/>
              <w:jc w:val="left"/>
              <w:rPr>
                <w:rFonts w:ascii="Times New Roman;Times;serif" w:hAnsi="Times New Roman;Times;serif"/>
                <w:color w:val="212529"/>
                <w:sz w:val="20"/>
              </w:rPr>
            </w:pPr>
            <w:r>
              <w:rPr>
                <w:rFonts w:ascii="Times New Roman;Times;serif" w:hAnsi="Times New Roman;Times;serif"/>
                <w:color w:val="212529"/>
                <w:sz w:val="20"/>
              </w:rPr>
              <w:t>Issuance of common stock under an at the market offering agreement, net of issuance costs of $195</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931" w:type="dxa"/>
            <w:tcBorders/>
            <w:shd w:fill="CCEEFF" w:val="clear"/>
            <w:vAlign w:val="center"/>
          </w:tcPr>
          <w:p>
            <w:pPr>
              <w:pStyle w:val="TableContents"/>
              <w:bidi w:val="0"/>
              <w:spacing w:lineRule="auto" w:line="285" w:before="1" w:after="1"/>
              <w:ind w:left="0" w:right="0" w:hanging="0"/>
              <w:jc w:val="right"/>
              <w:rPr>
                <w:rFonts w:ascii="Times New Roman;Times;serif" w:hAnsi="Times New Roman;Times;serif"/>
                <w:sz w:val="20"/>
              </w:rPr>
            </w:pPr>
            <w:r>
              <w:rPr>
                <w:rFonts w:ascii="Times New Roman;Times;serif" w:hAnsi="Times New Roman;Times;serif"/>
                <w:sz w:val="20"/>
              </w:rPr>
              <w:t>206,294</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90" w:type="dxa"/>
            <w:tcBorders/>
            <w:shd w:fill="CCEEFF" w:val="clear"/>
            <w:vAlign w:val="center"/>
          </w:tcPr>
          <w:p>
            <w:pPr>
              <w:pStyle w:val="TableContents"/>
              <w:bidi w:val="0"/>
              <w:spacing w:lineRule="auto" w:line="285" w:before="0" w:after="0"/>
              <w:ind w:left="0" w:right="0" w:hanging="0"/>
              <w:jc w:val="left"/>
              <w:rPr/>
            </w:pPr>
            <w:r>
              <w:rPr/>
              <w:t>​</w:t>
            </w:r>
          </w:p>
        </w:tc>
        <w:tc>
          <w:tcPr>
            <w:tcW w:w="476" w:type="dxa"/>
            <w:tcBorders/>
            <w:shd w:fill="CCEEFF" w:val="clear"/>
            <w:vAlign w:val="center"/>
          </w:tcPr>
          <w:p>
            <w:pPr>
              <w:pStyle w:val="TableContents"/>
              <w:bidi w:val="0"/>
              <w:spacing w:lineRule="auto" w:line="285" w:before="1" w:after="1"/>
              <w:ind w:left="0" w:right="0" w:hanging="0"/>
              <w:jc w:val="righ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pPr>
            <w:r>
              <w:rPr/>
              <w:t>​</w:t>
            </w:r>
          </w:p>
        </w:tc>
        <w:tc>
          <w:tcPr>
            <w:tcW w:w="781" w:type="dxa"/>
            <w:tcBorders/>
            <w:shd w:fill="CCEEFF" w:val="clear"/>
            <w:vAlign w:val="center"/>
          </w:tcPr>
          <w:p>
            <w:pPr>
              <w:pStyle w:val="TableContents"/>
              <w:bidi w:val="0"/>
              <w:spacing w:lineRule="auto" w:line="285" w:before="1" w:after="1"/>
              <w:ind w:left="0" w:right="0" w:hanging="0"/>
              <w:jc w:val="right"/>
              <w:rPr>
                <w:rFonts w:ascii="Times New Roman;Times;serif" w:hAnsi="Times New Roman;Times;serif"/>
                <w:sz w:val="20"/>
              </w:rPr>
            </w:pPr>
            <w:r>
              <w:rPr>
                <w:rFonts w:ascii="Times New Roman;Times;serif" w:hAnsi="Times New Roman;Times;serif"/>
                <w:sz w:val="20"/>
              </w:rPr>
              <w:t>383</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37" w:type="dxa"/>
            <w:tcBorders/>
            <w:shd w:fill="CCEEFF" w:val="clear"/>
            <w:vAlign w:val="center"/>
          </w:tcPr>
          <w:p>
            <w:pPr>
              <w:pStyle w:val="TableContents"/>
              <w:bidi w:val="0"/>
              <w:spacing w:lineRule="auto" w:line="285" w:before="0" w:after="0"/>
              <w:ind w:left="0" w:right="0" w:hanging="0"/>
              <w:jc w:val="left"/>
              <w:rPr/>
            </w:pPr>
            <w:r>
              <w:rPr/>
              <w:t>​</w:t>
            </w:r>
          </w:p>
        </w:tc>
        <w:tc>
          <w:tcPr>
            <w:tcW w:w="949" w:type="dxa"/>
            <w:tcBorders/>
            <w:shd w:fill="CCEEFF" w:val="clear"/>
            <w:vAlign w:val="center"/>
          </w:tcPr>
          <w:p>
            <w:pPr>
              <w:pStyle w:val="TableContents"/>
              <w:bidi w:val="0"/>
              <w:spacing w:lineRule="auto" w:line="285" w:before="1" w:after="1"/>
              <w:ind w:left="0" w:right="0" w:hanging="0"/>
              <w:jc w:val="righ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pPr>
            <w:r>
              <w:rPr/>
              <w:t>​</w:t>
            </w:r>
          </w:p>
        </w:tc>
        <w:tc>
          <w:tcPr>
            <w:tcW w:w="700" w:type="dxa"/>
            <w:tcBorders/>
            <w:shd w:fill="CCEEFF" w:val="clear"/>
            <w:vAlign w:val="center"/>
          </w:tcPr>
          <w:p>
            <w:pPr>
              <w:pStyle w:val="TableContents"/>
              <w:bidi w:val="0"/>
              <w:spacing w:lineRule="auto" w:line="285" w:before="1" w:after="1"/>
              <w:ind w:left="0" w:right="0" w:hanging="0"/>
              <w:jc w:val="right"/>
              <w:rPr>
                <w:rFonts w:ascii="Times New Roman;Times;serif" w:hAnsi="Times New Roman;Times;serif"/>
                <w:sz w:val="20"/>
              </w:rPr>
            </w:pPr>
            <w:r>
              <w:rPr>
                <w:rFonts w:ascii="Times New Roman;Times;serif" w:hAnsi="Times New Roman;Times;serif"/>
                <w:sz w:val="20"/>
              </w:rPr>
              <w:t>383</w:t>
            </w:r>
          </w:p>
        </w:tc>
      </w:tr>
      <w:tr>
        <w:trPr/>
        <w:tc>
          <w:tcPr>
            <w:tcW w:w="3689" w:type="dxa"/>
            <w:tcBorders/>
            <w:vAlign w:val="center"/>
          </w:tcPr>
          <w:p>
            <w:pPr>
              <w:pStyle w:val="TableContents"/>
              <w:bidi w:val="0"/>
              <w:spacing w:lineRule="auto" w:line="285" w:before="1" w:after="1"/>
              <w:ind w:left="0" w:right="0" w:hanging="0"/>
              <w:jc w:val="left"/>
              <w:rPr>
                <w:rFonts w:ascii="Times New Roman;Times;serif" w:hAnsi="Times New Roman;Times;serif"/>
                <w:sz w:val="20"/>
              </w:rPr>
            </w:pPr>
            <w:r>
              <w:rPr>
                <w:rFonts w:ascii="Times New Roman;Times;serif" w:hAnsi="Times New Roman;Times;serif"/>
                <w:sz w:val="20"/>
              </w:rPr>
              <w:t>Issuance of common stock for exercise of warrants</w:t>
            </w:r>
          </w:p>
        </w:tc>
        <w:tc>
          <w:tcPr>
            <w:tcW w:w="346" w:type="dxa"/>
            <w:tcBorders/>
            <w:vAlign w:val="center"/>
          </w:tcPr>
          <w:p>
            <w:pPr>
              <w:pStyle w:val="TableContents"/>
              <w:bidi w:val="0"/>
              <w:spacing w:lineRule="auto" w:line="285" w:before="0" w:after="0"/>
              <w:ind w:left="0" w:right="0" w:hanging="0"/>
              <w:jc w:val="left"/>
              <w:rPr/>
            </w:pPr>
            <w:r>
              <w:rPr/>
              <w:t>​</w:t>
            </w:r>
          </w:p>
        </w:tc>
        <w:tc>
          <w:tcPr>
            <w:tcW w:w="931" w:type="dxa"/>
            <w:tcBorders/>
            <w:vAlign w:val="center"/>
          </w:tcPr>
          <w:p>
            <w:pPr>
              <w:pStyle w:val="TableContents"/>
              <w:bidi w:val="0"/>
              <w:spacing w:lineRule="auto" w:line="285" w:before="1" w:after="1"/>
              <w:ind w:left="0" w:right="0" w:hanging="0"/>
              <w:jc w:val="right"/>
              <w:rPr>
                <w:rFonts w:ascii="Times New Roman;Times;serif" w:hAnsi="Times New Roman;Times;serif"/>
                <w:sz w:val="20"/>
              </w:rPr>
            </w:pPr>
            <w:r>
              <w:rPr>
                <w:rFonts w:ascii="Times New Roman;Times;serif" w:hAnsi="Times New Roman;Times;serif"/>
                <w:sz w:val="20"/>
              </w:rPr>
              <w:t>1,147,318</w:t>
            </w:r>
          </w:p>
        </w:tc>
        <w:tc>
          <w:tcPr>
            <w:tcW w:w="346" w:type="dxa"/>
            <w:tcBorders/>
            <w:vAlign w:val="center"/>
          </w:tcPr>
          <w:p>
            <w:pPr>
              <w:pStyle w:val="TableContents"/>
              <w:bidi w:val="0"/>
              <w:spacing w:lineRule="auto" w:line="285" w:before="0" w:after="0"/>
              <w:ind w:left="0" w:right="0" w:hanging="0"/>
              <w:jc w:val="left"/>
              <w:rPr/>
            </w:pPr>
            <w:r>
              <w:rPr/>
              <w:t>​</w:t>
            </w:r>
          </w:p>
        </w:tc>
        <w:tc>
          <w:tcPr>
            <w:tcW w:w="290" w:type="dxa"/>
            <w:tcBorders/>
            <w:vAlign w:val="center"/>
          </w:tcPr>
          <w:p>
            <w:pPr>
              <w:pStyle w:val="TableContents"/>
              <w:bidi w:val="0"/>
              <w:spacing w:lineRule="auto" w:line="285" w:before="0" w:after="0"/>
              <w:ind w:left="0" w:right="0" w:hanging="0"/>
              <w:jc w:val="left"/>
              <w:rPr/>
            </w:pPr>
            <w:r>
              <w:rPr/>
              <w:t>​</w:t>
            </w:r>
          </w:p>
        </w:tc>
        <w:tc>
          <w:tcPr>
            <w:tcW w:w="476" w:type="dxa"/>
            <w:tcBorders/>
            <w:vAlign w:val="center"/>
          </w:tcPr>
          <w:p>
            <w:pPr>
              <w:pStyle w:val="TableContents"/>
              <w:bidi w:val="0"/>
              <w:spacing w:lineRule="auto" w:line="285" w:before="1" w:after="1"/>
              <w:ind w:left="0" w:right="0" w:hanging="0"/>
              <w:jc w:val="right"/>
              <w:rPr>
                <w:rFonts w:ascii="Times New Roman;Times;serif" w:hAnsi="Times New Roman;Times;serif"/>
                <w:sz w:val="20"/>
              </w:rPr>
            </w:pPr>
            <w:r>
              <w:rPr>
                <w:rFonts w:ascii="Times New Roman;Times;serif" w:hAnsi="Times New Roman;Times;serif"/>
                <w:sz w:val="20"/>
              </w:rPr>
              <w:t>2</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pPr>
            <w:r>
              <w:rPr/>
              <w:t>​</w:t>
            </w:r>
          </w:p>
        </w:tc>
        <w:tc>
          <w:tcPr>
            <w:tcW w:w="781" w:type="dxa"/>
            <w:tcBorders/>
            <w:vAlign w:val="center"/>
          </w:tcPr>
          <w:p>
            <w:pPr>
              <w:pStyle w:val="TableContents"/>
              <w:bidi w:val="0"/>
              <w:spacing w:lineRule="auto" w:line="285" w:before="1" w:after="1"/>
              <w:ind w:left="0" w:right="0" w:hanging="0"/>
              <w:jc w:val="right"/>
              <w:rPr>
                <w:rFonts w:ascii="Times New Roman;Times;serif" w:hAnsi="Times New Roman;Times;serif"/>
                <w:sz w:val="20"/>
              </w:rPr>
            </w:pPr>
            <w:r>
              <w:rPr>
                <w:rFonts w:ascii="Times New Roman;Times;serif" w:hAnsi="Times New Roman;Times;serif"/>
                <w:sz w:val="20"/>
              </w:rPr>
              <w:t>2,416</w:t>
            </w:r>
          </w:p>
        </w:tc>
        <w:tc>
          <w:tcPr>
            <w:tcW w:w="346" w:type="dxa"/>
            <w:tcBorders/>
            <w:vAlign w:val="center"/>
          </w:tcPr>
          <w:p>
            <w:pPr>
              <w:pStyle w:val="TableContents"/>
              <w:bidi w:val="0"/>
              <w:spacing w:lineRule="auto" w:line="285" w:before="0" w:after="0"/>
              <w:ind w:left="0" w:right="0" w:hanging="0"/>
              <w:jc w:val="left"/>
              <w:rPr/>
            </w:pPr>
            <w:r>
              <w:rPr/>
              <w:t>​</w:t>
            </w:r>
          </w:p>
        </w:tc>
        <w:tc>
          <w:tcPr>
            <w:tcW w:w="237" w:type="dxa"/>
            <w:tcBorders/>
            <w:vAlign w:val="center"/>
          </w:tcPr>
          <w:p>
            <w:pPr>
              <w:pStyle w:val="TableContents"/>
              <w:bidi w:val="0"/>
              <w:spacing w:lineRule="auto" w:line="285" w:before="0" w:after="0"/>
              <w:ind w:left="0" w:right="0" w:hanging="0"/>
              <w:jc w:val="left"/>
              <w:rPr/>
            </w:pPr>
            <w:r>
              <w:rPr/>
              <w:t>​</w:t>
            </w:r>
          </w:p>
        </w:tc>
        <w:tc>
          <w:tcPr>
            <w:tcW w:w="949" w:type="dxa"/>
            <w:tcBorders/>
            <w:vAlign w:val="center"/>
          </w:tcPr>
          <w:p>
            <w:pPr>
              <w:pStyle w:val="TableContents"/>
              <w:bidi w:val="0"/>
              <w:spacing w:lineRule="auto" w:line="285" w:before="1" w:after="1"/>
              <w:ind w:left="0" w:right="0" w:hanging="0"/>
              <w:jc w:val="righ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pPr>
            <w:r>
              <w:rPr/>
              <w:t>​</w:t>
            </w:r>
          </w:p>
        </w:tc>
        <w:tc>
          <w:tcPr>
            <w:tcW w:w="700" w:type="dxa"/>
            <w:tcBorders/>
            <w:vAlign w:val="center"/>
          </w:tcPr>
          <w:p>
            <w:pPr>
              <w:pStyle w:val="TableContents"/>
              <w:bidi w:val="0"/>
              <w:spacing w:lineRule="auto" w:line="285" w:before="1" w:after="1"/>
              <w:ind w:left="0" w:right="0" w:hanging="0"/>
              <w:jc w:val="right"/>
              <w:rPr>
                <w:rFonts w:ascii="Times New Roman;Times;serif" w:hAnsi="Times New Roman;Times;serif"/>
                <w:sz w:val="20"/>
              </w:rPr>
            </w:pPr>
            <w:r>
              <w:rPr>
                <w:rFonts w:ascii="Times New Roman;Times;serif" w:hAnsi="Times New Roman;Times;serif"/>
                <w:sz w:val="20"/>
              </w:rPr>
              <w:t>2,418</w:t>
            </w:r>
          </w:p>
        </w:tc>
      </w:tr>
      <w:tr>
        <w:trPr/>
        <w:tc>
          <w:tcPr>
            <w:tcW w:w="3689" w:type="dxa"/>
            <w:tcBorders/>
            <w:shd w:fill="CCEEFF" w:val="clear"/>
            <w:vAlign w:val="center"/>
          </w:tcPr>
          <w:p>
            <w:pPr>
              <w:pStyle w:val="TableContents"/>
              <w:bidi w:val="0"/>
              <w:spacing w:lineRule="auto" w:line="285" w:before="1" w:after="1"/>
              <w:ind w:left="0" w:right="0" w:hanging="0"/>
              <w:jc w:val="left"/>
              <w:rPr>
                <w:rFonts w:ascii="Times New Roman;Times;serif" w:hAnsi="Times New Roman;Times;serif"/>
                <w:sz w:val="20"/>
              </w:rPr>
            </w:pPr>
            <w:r>
              <w:rPr>
                <w:rFonts w:ascii="Times New Roman;Times;serif" w:hAnsi="Times New Roman;Times;serif"/>
                <w:sz w:val="20"/>
              </w:rPr>
              <w:t>Issuance of common stock for professional services</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931" w:type="dxa"/>
            <w:tcBorders/>
            <w:shd w:fill="CCEEFF" w:val="clear"/>
            <w:vAlign w:val="center"/>
          </w:tcPr>
          <w:p>
            <w:pPr>
              <w:pStyle w:val="TableContents"/>
              <w:bidi w:val="0"/>
              <w:spacing w:lineRule="auto" w:line="285" w:before="1" w:after="1"/>
              <w:ind w:left="0" w:right="0" w:hanging="0"/>
              <w:jc w:val="right"/>
              <w:rPr>
                <w:rFonts w:ascii="Times New Roman;Times;serif" w:hAnsi="Times New Roman;Times;serif"/>
                <w:sz w:val="20"/>
              </w:rPr>
            </w:pPr>
            <w:r>
              <w:rPr>
                <w:rFonts w:ascii="Times New Roman;Times;serif" w:hAnsi="Times New Roman;Times;serif"/>
                <w:sz w:val="20"/>
              </w:rPr>
              <w:t>50,000</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90" w:type="dxa"/>
            <w:tcBorders/>
            <w:shd w:fill="CCEEFF" w:val="clear"/>
            <w:vAlign w:val="center"/>
          </w:tcPr>
          <w:p>
            <w:pPr>
              <w:pStyle w:val="TableContents"/>
              <w:bidi w:val="0"/>
              <w:spacing w:lineRule="auto" w:line="285" w:before="0" w:after="0"/>
              <w:ind w:left="0" w:right="0" w:hanging="0"/>
              <w:jc w:val="left"/>
              <w:rPr/>
            </w:pPr>
            <w:r>
              <w:rPr/>
              <w:t>​</w:t>
            </w:r>
          </w:p>
        </w:tc>
        <w:tc>
          <w:tcPr>
            <w:tcW w:w="476" w:type="dxa"/>
            <w:tcBorders/>
            <w:shd w:fill="CCEEFF" w:val="clear"/>
            <w:vAlign w:val="center"/>
          </w:tcPr>
          <w:p>
            <w:pPr>
              <w:pStyle w:val="TableContents"/>
              <w:bidi w:val="0"/>
              <w:spacing w:lineRule="auto" w:line="285" w:before="1" w:after="1"/>
              <w:ind w:left="0" w:right="0" w:hanging="0"/>
              <w:jc w:val="righ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pPr>
            <w:r>
              <w:rPr/>
              <w:t>​</w:t>
            </w:r>
          </w:p>
        </w:tc>
        <w:tc>
          <w:tcPr>
            <w:tcW w:w="781" w:type="dxa"/>
            <w:tcBorders/>
            <w:shd w:fill="CCEEFF" w:val="clear"/>
            <w:vAlign w:val="center"/>
          </w:tcPr>
          <w:p>
            <w:pPr>
              <w:pStyle w:val="TableContents"/>
              <w:bidi w:val="0"/>
              <w:spacing w:lineRule="auto" w:line="285" w:before="1" w:after="1"/>
              <w:ind w:left="0" w:right="0" w:hanging="0"/>
              <w:jc w:val="right"/>
              <w:rPr>
                <w:rFonts w:ascii="Times New Roman;Times;serif" w:hAnsi="Times New Roman;Times;serif"/>
                <w:sz w:val="20"/>
              </w:rPr>
            </w:pPr>
            <w:r>
              <w:rPr>
                <w:rFonts w:ascii="Times New Roman;Times;serif" w:hAnsi="Times New Roman;Times;serif"/>
                <w:sz w:val="20"/>
              </w:rPr>
              <w:t>144</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37" w:type="dxa"/>
            <w:tcBorders/>
            <w:shd w:fill="CCEEFF" w:val="clear"/>
            <w:vAlign w:val="center"/>
          </w:tcPr>
          <w:p>
            <w:pPr>
              <w:pStyle w:val="TableContents"/>
              <w:bidi w:val="0"/>
              <w:spacing w:lineRule="auto" w:line="285" w:before="0" w:after="0"/>
              <w:ind w:left="0" w:right="0" w:hanging="0"/>
              <w:jc w:val="left"/>
              <w:rPr/>
            </w:pPr>
            <w:r>
              <w:rPr/>
              <w:t>​</w:t>
            </w:r>
          </w:p>
        </w:tc>
        <w:tc>
          <w:tcPr>
            <w:tcW w:w="949" w:type="dxa"/>
            <w:tcBorders/>
            <w:shd w:fill="CCEEFF" w:val="clear"/>
            <w:vAlign w:val="center"/>
          </w:tcPr>
          <w:p>
            <w:pPr>
              <w:pStyle w:val="TableContents"/>
              <w:bidi w:val="0"/>
              <w:spacing w:lineRule="auto" w:line="285" w:before="1" w:after="1"/>
              <w:ind w:left="0" w:right="0" w:hanging="0"/>
              <w:jc w:val="righ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pPr>
            <w:r>
              <w:rPr/>
              <w:t>​</w:t>
            </w:r>
          </w:p>
        </w:tc>
        <w:tc>
          <w:tcPr>
            <w:tcW w:w="700" w:type="dxa"/>
            <w:tcBorders/>
            <w:shd w:fill="CCEEFF" w:val="clear"/>
            <w:vAlign w:val="center"/>
          </w:tcPr>
          <w:p>
            <w:pPr>
              <w:pStyle w:val="TableContents"/>
              <w:bidi w:val="0"/>
              <w:spacing w:lineRule="auto" w:line="285" w:before="1" w:after="1"/>
              <w:ind w:left="0" w:right="0" w:hanging="0"/>
              <w:jc w:val="right"/>
              <w:rPr>
                <w:rFonts w:ascii="Times New Roman;Times;serif" w:hAnsi="Times New Roman;Times;serif"/>
                <w:sz w:val="20"/>
              </w:rPr>
            </w:pPr>
            <w:r>
              <w:rPr>
                <w:rFonts w:ascii="Times New Roman;Times;serif" w:hAnsi="Times New Roman;Times;serif"/>
                <w:sz w:val="20"/>
              </w:rPr>
              <w:t>144</w:t>
            </w:r>
          </w:p>
        </w:tc>
      </w:tr>
      <w:tr>
        <w:trPr/>
        <w:tc>
          <w:tcPr>
            <w:tcW w:w="3689" w:type="dxa"/>
            <w:tcBorders/>
            <w:vAlign w:val="center"/>
          </w:tcPr>
          <w:p>
            <w:pPr>
              <w:pStyle w:val="TableContents"/>
              <w:bidi w:val="0"/>
              <w:spacing w:lineRule="auto" w:line="285" w:before="1" w:after="1"/>
              <w:ind w:left="0" w:right="0" w:hanging="0"/>
              <w:jc w:val="left"/>
              <w:rPr>
                <w:rFonts w:ascii="Times New Roman;Times;serif" w:hAnsi="Times New Roman;Times;serif"/>
                <w:sz w:val="20"/>
              </w:rPr>
            </w:pPr>
            <w:r>
              <w:rPr>
                <w:rFonts w:ascii="Times New Roman;Times;serif" w:hAnsi="Times New Roman;Times;serif"/>
                <w:sz w:val="20"/>
              </w:rPr>
              <w:t>Issuance of common stock for vested restricted stock units</w:t>
            </w:r>
          </w:p>
        </w:tc>
        <w:tc>
          <w:tcPr>
            <w:tcW w:w="346" w:type="dxa"/>
            <w:tcBorders/>
            <w:vAlign w:val="center"/>
          </w:tcPr>
          <w:p>
            <w:pPr>
              <w:pStyle w:val="TableContents"/>
              <w:bidi w:val="0"/>
              <w:spacing w:lineRule="auto" w:line="285" w:before="0" w:after="0"/>
              <w:ind w:left="0" w:right="0" w:hanging="0"/>
              <w:jc w:val="left"/>
              <w:rPr/>
            </w:pPr>
            <w:r>
              <w:rPr/>
              <w:t>​</w:t>
            </w:r>
          </w:p>
        </w:tc>
        <w:tc>
          <w:tcPr>
            <w:tcW w:w="931" w:type="dxa"/>
            <w:tcBorders/>
            <w:vAlign w:val="center"/>
          </w:tcPr>
          <w:p>
            <w:pPr>
              <w:pStyle w:val="TableContents"/>
              <w:bidi w:val="0"/>
              <w:spacing w:lineRule="auto" w:line="285" w:before="1" w:after="1"/>
              <w:ind w:left="0" w:right="0" w:hanging="0"/>
              <w:jc w:val="right"/>
              <w:rPr>
                <w:rFonts w:ascii="Times New Roman;Times;serif" w:hAnsi="Times New Roman;Times;serif"/>
                <w:sz w:val="20"/>
              </w:rPr>
            </w:pPr>
            <w:r>
              <w:rPr>
                <w:rFonts w:ascii="Times New Roman;Times;serif" w:hAnsi="Times New Roman;Times;serif"/>
                <w:sz w:val="20"/>
              </w:rPr>
              <w:t>7,674</w:t>
            </w:r>
          </w:p>
        </w:tc>
        <w:tc>
          <w:tcPr>
            <w:tcW w:w="346" w:type="dxa"/>
            <w:tcBorders/>
            <w:vAlign w:val="center"/>
          </w:tcPr>
          <w:p>
            <w:pPr>
              <w:pStyle w:val="TableContents"/>
              <w:bidi w:val="0"/>
              <w:spacing w:lineRule="auto" w:line="285" w:before="0" w:after="0"/>
              <w:ind w:left="0" w:right="0" w:hanging="0"/>
              <w:jc w:val="left"/>
              <w:rPr/>
            </w:pPr>
            <w:r>
              <w:rPr/>
              <w:t>​</w:t>
            </w:r>
          </w:p>
        </w:tc>
        <w:tc>
          <w:tcPr>
            <w:tcW w:w="290" w:type="dxa"/>
            <w:tcBorders/>
            <w:vAlign w:val="center"/>
          </w:tcPr>
          <w:p>
            <w:pPr>
              <w:pStyle w:val="TableContents"/>
              <w:bidi w:val="0"/>
              <w:spacing w:lineRule="auto" w:line="285" w:before="0" w:after="0"/>
              <w:ind w:left="0" w:right="0" w:hanging="0"/>
              <w:jc w:val="left"/>
              <w:rPr/>
            </w:pPr>
            <w:r>
              <w:rPr/>
              <w:t>​</w:t>
            </w:r>
          </w:p>
        </w:tc>
        <w:tc>
          <w:tcPr>
            <w:tcW w:w="476" w:type="dxa"/>
            <w:tcBorders/>
            <w:vAlign w:val="center"/>
          </w:tcPr>
          <w:p>
            <w:pPr>
              <w:pStyle w:val="TableContents"/>
              <w:bidi w:val="0"/>
              <w:spacing w:lineRule="auto" w:line="285" w:before="1" w:after="1"/>
              <w:ind w:left="0" w:right="0" w:hanging="0"/>
              <w:jc w:val="righ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pPr>
            <w:r>
              <w:rPr/>
              <w:t>​</w:t>
            </w:r>
          </w:p>
        </w:tc>
        <w:tc>
          <w:tcPr>
            <w:tcW w:w="781" w:type="dxa"/>
            <w:tcBorders/>
            <w:vAlign w:val="center"/>
          </w:tcPr>
          <w:p>
            <w:pPr>
              <w:pStyle w:val="TableContents"/>
              <w:bidi w:val="0"/>
              <w:spacing w:lineRule="auto" w:line="285" w:before="1" w:after="1"/>
              <w:ind w:left="0" w:right="0" w:hanging="0"/>
              <w:jc w:val="righ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237" w:type="dxa"/>
            <w:tcBorders/>
            <w:vAlign w:val="center"/>
          </w:tcPr>
          <w:p>
            <w:pPr>
              <w:pStyle w:val="TableContents"/>
              <w:bidi w:val="0"/>
              <w:spacing w:lineRule="auto" w:line="285" w:before="0" w:after="0"/>
              <w:ind w:left="0" w:right="0" w:hanging="0"/>
              <w:jc w:val="left"/>
              <w:rPr/>
            </w:pPr>
            <w:r>
              <w:rPr/>
              <w:t>​</w:t>
            </w:r>
          </w:p>
        </w:tc>
        <w:tc>
          <w:tcPr>
            <w:tcW w:w="949" w:type="dxa"/>
            <w:tcBorders/>
            <w:vAlign w:val="center"/>
          </w:tcPr>
          <w:p>
            <w:pPr>
              <w:pStyle w:val="TableContents"/>
              <w:bidi w:val="0"/>
              <w:spacing w:lineRule="auto" w:line="285" w:before="1" w:after="1"/>
              <w:ind w:left="0" w:right="0" w:hanging="0"/>
              <w:jc w:val="righ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pPr>
            <w:r>
              <w:rPr/>
              <w:t>​</w:t>
            </w:r>
          </w:p>
        </w:tc>
        <w:tc>
          <w:tcPr>
            <w:tcW w:w="700" w:type="dxa"/>
            <w:tcBorders/>
            <w:vAlign w:val="center"/>
          </w:tcPr>
          <w:p>
            <w:pPr>
              <w:pStyle w:val="TableContents"/>
              <w:bidi w:val="0"/>
              <w:spacing w:lineRule="auto" w:line="285" w:before="1" w:after="1"/>
              <w:ind w:left="0" w:right="0" w:hanging="0"/>
              <w:jc w:val="right"/>
              <w:rPr/>
            </w:pPr>
            <w:r>
              <w:rPr/>
              <w:t>—</w:t>
            </w:r>
          </w:p>
        </w:tc>
      </w:tr>
      <w:tr>
        <w:trPr/>
        <w:tc>
          <w:tcPr>
            <w:tcW w:w="3689" w:type="dxa"/>
            <w:tcBorders/>
            <w:shd w:fill="CCEEFF" w:val="clear"/>
            <w:vAlign w:val="center"/>
          </w:tcPr>
          <w:p>
            <w:pPr>
              <w:pStyle w:val="TableContents"/>
              <w:bidi w:val="0"/>
              <w:spacing w:lineRule="auto" w:line="285" w:before="1" w:after="1"/>
              <w:ind w:left="0" w:right="0" w:hanging="0"/>
              <w:jc w:val="left"/>
              <w:rPr>
                <w:rFonts w:ascii="Times New Roman;Times;serif" w:hAnsi="Times New Roman;Times;serif"/>
                <w:sz w:val="20"/>
              </w:rPr>
            </w:pPr>
            <w:r>
              <w:rPr>
                <w:rFonts w:ascii="Times New Roman;Times;serif" w:hAnsi="Times New Roman;Times;serif"/>
                <w:sz w:val="20"/>
              </w:rPr>
              <w:t>Stock-based compensation </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931" w:type="dxa"/>
            <w:tcBorders/>
            <w:shd w:fill="CCEEFF" w:val="clear"/>
            <w:vAlign w:val="center"/>
          </w:tcPr>
          <w:p>
            <w:pPr>
              <w:pStyle w:val="TableContents"/>
              <w:bidi w:val="0"/>
              <w:spacing w:lineRule="auto" w:line="285" w:before="1" w:after="1"/>
              <w:ind w:left="0" w:right="0" w:hanging="0"/>
              <w:jc w:val="righ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90" w:type="dxa"/>
            <w:tcBorders/>
            <w:shd w:fill="CCEEFF" w:val="clear"/>
            <w:vAlign w:val="center"/>
          </w:tcPr>
          <w:p>
            <w:pPr>
              <w:pStyle w:val="TableContents"/>
              <w:bidi w:val="0"/>
              <w:spacing w:lineRule="auto" w:line="285" w:before="0" w:after="0"/>
              <w:ind w:left="0" w:right="0" w:hanging="0"/>
              <w:jc w:val="left"/>
              <w:rPr/>
            </w:pPr>
            <w:r>
              <w:rPr/>
              <w:t>​</w:t>
            </w:r>
          </w:p>
        </w:tc>
        <w:tc>
          <w:tcPr>
            <w:tcW w:w="476" w:type="dxa"/>
            <w:tcBorders/>
            <w:shd w:fill="CCEEFF" w:val="clear"/>
            <w:vAlign w:val="center"/>
          </w:tcPr>
          <w:p>
            <w:pPr>
              <w:pStyle w:val="TableContents"/>
              <w:bidi w:val="0"/>
              <w:spacing w:lineRule="auto" w:line="285" w:before="1" w:after="1"/>
              <w:ind w:left="0" w:right="0" w:hanging="0"/>
              <w:jc w:val="righ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pPr>
            <w:r>
              <w:rPr/>
              <w:t>​</w:t>
            </w:r>
          </w:p>
        </w:tc>
        <w:tc>
          <w:tcPr>
            <w:tcW w:w="781" w:type="dxa"/>
            <w:tcBorders/>
            <w:shd w:fill="CCEEFF" w:val="clear"/>
            <w:vAlign w:val="center"/>
          </w:tcPr>
          <w:p>
            <w:pPr>
              <w:pStyle w:val="TableContents"/>
              <w:bidi w:val="0"/>
              <w:spacing w:lineRule="auto" w:line="285" w:before="1" w:after="1"/>
              <w:ind w:left="0" w:right="0" w:hanging="0"/>
              <w:jc w:val="right"/>
              <w:rPr>
                <w:rFonts w:ascii="Times New Roman;Times;serif" w:hAnsi="Times New Roman;Times;serif"/>
                <w:sz w:val="20"/>
              </w:rPr>
            </w:pPr>
            <w:r>
              <w:rPr>
                <w:rFonts w:ascii="Times New Roman;Times;serif" w:hAnsi="Times New Roman;Times;serif"/>
                <w:sz w:val="20"/>
              </w:rPr>
              <w:t>130</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37" w:type="dxa"/>
            <w:tcBorders/>
            <w:shd w:fill="CCEEFF" w:val="clear"/>
            <w:vAlign w:val="center"/>
          </w:tcPr>
          <w:p>
            <w:pPr>
              <w:pStyle w:val="TableContents"/>
              <w:bidi w:val="0"/>
              <w:spacing w:lineRule="auto" w:line="285" w:before="0" w:after="0"/>
              <w:ind w:left="0" w:right="0" w:hanging="0"/>
              <w:jc w:val="left"/>
              <w:rPr/>
            </w:pPr>
            <w:r>
              <w:rPr/>
              <w:t>​</w:t>
            </w:r>
          </w:p>
        </w:tc>
        <w:tc>
          <w:tcPr>
            <w:tcW w:w="949" w:type="dxa"/>
            <w:tcBorders/>
            <w:shd w:fill="CCEEFF" w:val="clear"/>
            <w:vAlign w:val="center"/>
          </w:tcPr>
          <w:p>
            <w:pPr>
              <w:pStyle w:val="TableContents"/>
              <w:bidi w:val="0"/>
              <w:spacing w:lineRule="auto" w:line="285" w:before="1" w:after="1"/>
              <w:ind w:left="0" w:right="0" w:hanging="0"/>
              <w:jc w:val="righ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pPr>
            <w:r>
              <w:rPr/>
              <w:t>​</w:t>
            </w:r>
          </w:p>
        </w:tc>
        <w:tc>
          <w:tcPr>
            <w:tcW w:w="700" w:type="dxa"/>
            <w:tcBorders/>
            <w:shd w:fill="CCEEFF" w:val="clear"/>
            <w:vAlign w:val="center"/>
          </w:tcPr>
          <w:p>
            <w:pPr>
              <w:pStyle w:val="TableContents"/>
              <w:bidi w:val="0"/>
              <w:spacing w:lineRule="auto" w:line="285" w:before="1" w:after="1"/>
              <w:ind w:left="0" w:right="0" w:hanging="0"/>
              <w:jc w:val="right"/>
              <w:rPr>
                <w:rFonts w:ascii="Times New Roman;Times;serif" w:hAnsi="Times New Roman;Times;serif"/>
                <w:sz w:val="20"/>
              </w:rPr>
            </w:pPr>
            <w:r>
              <w:rPr>
                <w:rFonts w:ascii="Times New Roman;Times;serif" w:hAnsi="Times New Roman;Times;serif"/>
                <w:sz w:val="20"/>
              </w:rPr>
              <w:t>130</w:t>
            </w:r>
          </w:p>
        </w:tc>
      </w:tr>
      <w:tr>
        <w:trPr/>
        <w:tc>
          <w:tcPr>
            <w:tcW w:w="3689" w:type="dxa"/>
            <w:tcBorders>
              <w:bottom w:val="single" w:sz="2" w:space="0" w:color="000000"/>
            </w:tcBorders>
            <w:tcMar>
              <w:bottom w:w="28" w:type="dxa"/>
            </w:tcMar>
            <w:vAlign w:val="center"/>
          </w:tcPr>
          <w:p>
            <w:pPr>
              <w:pStyle w:val="TableContents"/>
              <w:bidi w:val="0"/>
              <w:spacing w:lineRule="auto" w:line="285" w:before="1" w:after="1"/>
              <w:ind w:left="0" w:right="0" w:hanging="0"/>
              <w:jc w:val="left"/>
              <w:rPr>
                <w:rFonts w:ascii="Times New Roman;Times;serif" w:hAnsi="Times New Roman;Times;serif"/>
                <w:sz w:val="20"/>
              </w:rPr>
            </w:pPr>
            <w:r>
              <w:rPr>
                <w:rFonts w:ascii="Times New Roman;Times;serif" w:hAnsi="Times New Roman;Times;serif"/>
                <w:sz w:val="20"/>
              </w:rPr>
              <w:t>Net loss</w:t>
            </w:r>
          </w:p>
        </w:tc>
        <w:tc>
          <w:tcPr>
            <w:tcW w:w="346"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lineRule="auto" w:line="285" w:before="1" w:after="1"/>
              <w:ind w:left="0" w:right="0" w:hanging="0"/>
              <w:jc w:val="right"/>
              <w:rPr/>
            </w:pPr>
            <w:r>
              <w:rPr/>
              <w:t>—</w:t>
            </w:r>
          </w:p>
        </w:tc>
        <w:tc>
          <w:tcPr>
            <w:tcW w:w="346"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290"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476" w:type="dxa"/>
            <w:tcBorders>
              <w:bottom w:val="single" w:sz="2" w:space="0" w:color="000000"/>
            </w:tcBorders>
            <w:tcMar>
              <w:bottom w:w="28" w:type="dxa"/>
            </w:tcMar>
            <w:vAlign w:val="center"/>
          </w:tcPr>
          <w:p>
            <w:pPr>
              <w:pStyle w:val="TableContents"/>
              <w:bidi w:val="0"/>
              <w:spacing w:lineRule="auto" w:line="285" w:before="1" w:after="1"/>
              <w:ind w:left="0" w:right="0" w:hanging="0"/>
              <w:jc w:val="right"/>
              <w:rPr/>
            </w:pPr>
            <w:r>
              <w:rPr/>
              <w:t>—</w:t>
            </w:r>
          </w:p>
        </w:tc>
        <w:tc>
          <w:tcPr>
            <w:tcW w:w="346"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lineRule="auto" w:line="285" w:before="1" w:after="1"/>
              <w:ind w:left="0" w:right="0" w:hanging="0"/>
              <w:jc w:val="right"/>
              <w:rPr/>
            </w:pPr>
            <w:r>
              <w:rPr/>
              <w:t>—</w:t>
            </w:r>
          </w:p>
        </w:tc>
        <w:tc>
          <w:tcPr>
            <w:tcW w:w="346"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237"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949" w:type="dxa"/>
            <w:tcBorders>
              <w:bottom w:val="single" w:sz="2" w:space="0" w:color="000000"/>
            </w:tcBorders>
            <w:tcMar>
              <w:bottom w:w="28" w:type="dxa"/>
            </w:tcMar>
            <w:vAlign w:val="center"/>
          </w:tcPr>
          <w:p>
            <w:pPr>
              <w:pStyle w:val="TableContents"/>
              <w:bidi w:val="0"/>
              <w:spacing w:lineRule="auto" w:line="285" w:before="1" w:after="1"/>
              <w:ind w:left="0" w:right="0" w:hanging="0"/>
              <w:jc w:val="right"/>
              <w:rPr>
                <w:rFonts w:ascii="Times New Roman;Times;serif" w:hAnsi="Times New Roman;Times;serif"/>
                <w:sz w:val="20"/>
              </w:rPr>
            </w:pPr>
            <w:r>
              <w:rPr>
                <w:rFonts w:ascii="Times New Roman;Times;serif" w:hAnsi="Times New Roman;Times;serif"/>
                <w:sz w:val="20"/>
              </w:rPr>
              <w:t>(5,316)</w:t>
            </w:r>
          </w:p>
        </w:tc>
        <w:tc>
          <w:tcPr>
            <w:tcW w:w="346"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700" w:type="dxa"/>
            <w:tcBorders>
              <w:bottom w:val="single" w:sz="2" w:space="0" w:color="000000"/>
            </w:tcBorders>
            <w:tcMar>
              <w:bottom w:w="28" w:type="dxa"/>
            </w:tcMar>
            <w:vAlign w:val="center"/>
          </w:tcPr>
          <w:p>
            <w:pPr>
              <w:pStyle w:val="TableContents"/>
              <w:bidi w:val="0"/>
              <w:spacing w:lineRule="auto" w:line="285" w:before="1" w:after="1"/>
              <w:ind w:left="0" w:right="0" w:hanging="0"/>
              <w:jc w:val="right"/>
              <w:rPr>
                <w:rFonts w:ascii="Times New Roman;Times;serif" w:hAnsi="Times New Roman;Times;serif"/>
                <w:sz w:val="20"/>
              </w:rPr>
            </w:pPr>
            <w:r>
              <w:rPr>
                <w:rFonts w:ascii="Times New Roman;Times;serif" w:hAnsi="Times New Roman;Times;serif"/>
                <w:sz w:val="20"/>
              </w:rPr>
              <w:t>(5,316)</w:t>
            </w:r>
          </w:p>
        </w:tc>
      </w:tr>
      <w:tr>
        <w:trPr/>
        <w:tc>
          <w:tcPr>
            <w:tcW w:w="3689" w:type="dxa"/>
            <w:tcBorders>
              <w:bottom w:val="double" w:sz="6" w:space="0" w:color="000000"/>
            </w:tcBorders>
            <w:shd w:fill="CCEEFF" w:val="clear"/>
            <w:tcMar>
              <w:bottom w:w="28" w:type="dxa"/>
            </w:tcMar>
            <w:vAlign w:val="center"/>
          </w:tcPr>
          <w:p>
            <w:pPr>
              <w:pStyle w:val="TableContents"/>
              <w:bidi w:val="0"/>
              <w:spacing w:lineRule="auto" w:line="285" w:before="1" w:after="1"/>
              <w:ind w:left="0" w:right="0" w:hanging="0"/>
              <w:jc w:val="left"/>
              <w:rPr>
                <w:rFonts w:ascii="Times New Roman;Times;serif" w:hAnsi="Times New Roman;Times;serif"/>
                <w:sz w:val="20"/>
              </w:rPr>
            </w:pPr>
            <w:r>
              <w:rPr>
                <w:rFonts w:ascii="Times New Roman;Times;serif" w:hAnsi="Times New Roman;Times;serif"/>
                <w:sz w:val="20"/>
              </w:rPr>
              <w:t>As of June 30, 2026</w:t>
            </w:r>
          </w:p>
        </w:tc>
        <w:tc>
          <w:tcPr>
            <w:tcW w:w="346"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931" w:type="dxa"/>
            <w:tcBorders>
              <w:bottom w:val="double" w:sz="6" w:space="0" w:color="000000"/>
            </w:tcBorders>
            <w:shd w:fill="CCEEFF" w:val="clear"/>
            <w:tcMar>
              <w:bottom w:w="28" w:type="dxa"/>
            </w:tcMar>
            <w:vAlign w:val="center"/>
          </w:tcPr>
          <w:p>
            <w:pPr>
              <w:pStyle w:val="TableContents"/>
              <w:bidi w:val="0"/>
              <w:spacing w:lineRule="auto" w:line="285" w:before="1" w:after="1"/>
              <w:ind w:left="0" w:right="0" w:hanging="0"/>
              <w:jc w:val="right"/>
              <w:rPr>
                <w:rFonts w:ascii="Times New Roman;Times;serif" w:hAnsi="Times New Roman;Times;serif"/>
                <w:sz w:val="20"/>
              </w:rPr>
            </w:pPr>
            <w:r>
              <w:rPr>
                <w:rFonts w:ascii="Times New Roman;Times;serif" w:hAnsi="Times New Roman;Times;serif"/>
                <w:sz w:val="20"/>
              </w:rPr>
              <w:t>6,575,656</w:t>
            </w:r>
          </w:p>
        </w:tc>
        <w:tc>
          <w:tcPr>
            <w:tcW w:w="346"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290" w:type="dxa"/>
            <w:tcBorders>
              <w:bottom w:val="double" w:sz="6" w:space="0" w:color="000000"/>
            </w:tcBorders>
            <w:shd w:fill="CCEEFF" w:val="clear"/>
            <w:tcMar>
              <w:bottom w:w="28" w:type="dxa"/>
            </w:tcMar>
            <w:vAlign w:val="center"/>
          </w:tcPr>
          <w:p>
            <w:pPr>
              <w:pStyle w:val="TableContents"/>
              <w:bidi w:val="0"/>
              <w:spacing w:lineRule="auto" w:line="285" w:before="1" w:after="1"/>
              <w:ind w:left="0" w:right="0" w:hanging="0"/>
              <w:jc w:val="left"/>
              <w:rPr>
                <w:rFonts w:ascii="Times New Roman;Times;serif" w:hAnsi="Times New Roman;Times;serif"/>
                <w:sz w:val="20"/>
              </w:rPr>
            </w:pPr>
            <w:r>
              <w:rPr>
                <w:rFonts w:ascii="Times New Roman;Times;serif" w:hAnsi="Times New Roman;Times;serif"/>
                <w:sz w:val="20"/>
              </w:rPr>
              <w:t>$</w:t>
            </w:r>
          </w:p>
        </w:tc>
        <w:tc>
          <w:tcPr>
            <w:tcW w:w="476" w:type="dxa"/>
            <w:tcBorders>
              <w:bottom w:val="double" w:sz="6" w:space="0" w:color="000000"/>
            </w:tcBorders>
            <w:shd w:fill="CCEEFF" w:val="clear"/>
            <w:tcMar>
              <w:bottom w:w="28" w:type="dxa"/>
            </w:tcMar>
            <w:vAlign w:val="center"/>
          </w:tcPr>
          <w:p>
            <w:pPr>
              <w:pStyle w:val="TableContents"/>
              <w:bidi w:val="0"/>
              <w:spacing w:lineRule="auto" w:line="285" w:before="1" w:after="1"/>
              <w:ind w:left="0" w:right="0" w:hanging="0"/>
              <w:jc w:val="right"/>
              <w:rPr>
                <w:rFonts w:ascii="Times New Roman;Times;serif" w:hAnsi="Times New Roman;Times;serif"/>
                <w:sz w:val="20"/>
              </w:rPr>
            </w:pPr>
            <w:r>
              <w:rPr>
                <w:rFonts w:ascii="Times New Roman;Times;serif" w:hAnsi="Times New Roman;Times;serif"/>
                <w:sz w:val="20"/>
              </w:rPr>
              <w:t>7</w:t>
            </w:r>
          </w:p>
        </w:tc>
        <w:tc>
          <w:tcPr>
            <w:tcW w:w="346"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lineRule="auto" w:line="285" w:before="1"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lineRule="auto" w:line="285" w:before="1" w:after="1"/>
              <w:ind w:left="0" w:right="0" w:hanging="0"/>
              <w:jc w:val="right"/>
              <w:rPr>
                <w:rFonts w:ascii="Times New Roman;Times;serif" w:hAnsi="Times New Roman;Times;serif"/>
                <w:sz w:val="20"/>
              </w:rPr>
            </w:pPr>
            <w:r>
              <w:rPr>
                <w:rFonts w:ascii="Times New Roman;Times;serif" w:hAnsi="Times New Roman;Times;serif"/>
                <w:sz w:val="20"/>
              </w:rPr>
              <w:t>164,784</w:t>
            </w:r>
          </w:p>
        </w:tc>
        <w:tc>
          <w:tcPr>
            <w:tcW w:w="346"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237" w:type="dxa"/>
            <w:tcBorders>
              <w:bottom w:val="double" w:sz="6" w:space="0" w:color="000000"/>
            </w:tcBorders>
            <w:shd w:fill="CCEEFF" w:val="clear"/>
            <w:tcMar>
              <w:bottom w:w="28" w:type="dxa"/>
            </w:tcMar>
            <w:vAlign w:val="center"/>
          </w:tcPr>
          <w:p>
            <w:pPr>
              <w:pStyle w:val="TableContents"/>
              <w:bidi w:val="0"/>
              <w:spacing w:lineRule="auto" w:line="285" w:before="1" w:after="1"/>
              <w:ind w:left="0" w:right="0" w:hanging="0"/>
              <w:jc w:val="left"/>
              <w:rPr>
                <w:rFonts w:ascii="Times New Roman;Times;serif" w:hAnsi="Times New Roman;Times;serif"/>
                <w:sz w:val="20"/>
              </w:rPr>
            </w:pPr>
            <w:r>
              <w:rPr>
                <w:rFonts w:ascii="Times New Roman;Times;serif" w:hAnsi="Times New Roman;Times;serif"/>
                <w:sz w:val="20"/>
              </w:rPr>
              <w:t>$</w:t>
            </w:r>
          </w:p>
        </w:tc>
        <w:tc>
          <w:tcPr>
            <w:tcW w:w="949" w:type="dxa"/>
            <w:tcBorders>
              <w:bottom w:val="double" w:sz="6" w:space="0" w:color="000000"/>
            </w:tcBorders>
            <w:shd w:fill="CCEEFF" w:val="clear"/>
            <w:tcMar>
              <w:bottom w:w="28" w:type="dxa"/>
            </w:tcMar>
            <w:vAlign w:val="center"/>
          </w:tcPr>
          <w:p>
            <w:pPr>
              <w:pStyle w:val="TableContents"/>
              <w:bidi w:val="0"/>
              <w:spacing w:lineRule="auto" w:line="285" w:before="1" w:after="1"/>
              <w:ind w:left="0" w:right="0" w:hanging="0"/>
              <w:jc w:val="right"/>
              <w:rPr>
                <w:rFonts w:ascii="Times New Roman;Times;serif" w:hAnsi="Times New Roman;Times;serif"/>
                <w:sz w:val="20"/>
              </w:rPr>
            </w:pPr>
            <w:r>
              <w:rPr>
                <w:rFonts w:ascii="Times New Roman;Times;serif" w:hAnsi="Times New Roman;Times;serif"/>
                <w:sz w:val="20"/>
              </w:rPr>
              <w:t>(157,969)</w:t>
            </w:r>
          </w:p>
        </w:tc>
        <w:tc>
          <w:tcPr>
            <w:tcW w:w="346"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lineRule="auto" w:line="285" w:before="1" w:after="1"/>
              <w:ind w:left="0" w:right="0" w:hanging="0"/>
              <w:jc w:val="left"/>
              <w:rPr>
                <w:rFonts w:ascii="Times New Roman;Times;serif" w:hAnsi="Times New Roman;Times;serif"/>
                <w:sz w:val="20"/>
              </w:rPr>
            </w:pPr>
            <w:r>
              <w:rPr>
                <w:rFonts w:ascii="Times New Roman;Times;serif" w:hAnsi="Times New Roman;Times;serif"/>
                <w:sz w:val="20"/>
              </w:rPr>
              <w:t>$</w:t>
            </w:r>
          </w:p>
        </w:tc>
        <w:tc>
          <w:tcPr>
            <w:tcW w:w="700" w:type="dxa"/>
            <w:tcBorders>
              <w:bottom w:val="double" w:sz="6" w:space="0" w:color="000000"/>
            </w:tcBorders>
            <w:shd w:fill="CCEEFF" w:val="clear"/>
            <w:tcMar>
              <w:bottom w:w="28" w:type="dxa"/>
            </w:tcMar>
            <w:vAlign w:val="center"/>
          </w:tcPr>
          <w:p>
            <w:pPr>
              <w:pStyle w:val="TableContents"/>
              <w:bidi w:val="0"/>
              <w:spacing w:lineRule="auto" w:line="285" w:before="1" w:after="1"/>
              <w:ind w:left="0" w:right="70" w:hanging="0"/>
              <w:jc w:val="right"/>
              <w:rPr>
                <w:rFonts w:ascii="Times New Roman;Times;serif" w:hAnsi="Times New Roman;Times;serif"/>
                <w:sz w:val="20"/>
              </w:rPr>
            </w:pPr>
            <w:r>
              <w:rPr>
                <w:rFonts w:ascii="Times New Roman;Times;serif" w:hAnsi="Times New Roman;Times;serif"/>
                <w:sz w:val="20"/>
              </w:rPr>
              <w:t>6,822</w:t>
            </w:r>
          </w:p>
        </w:tc>
      </w:tr>
    </w:tbl>
    <w:p>
      <w:pPr>
        <w:pStyle w:val="TextBody"/>
        <w:shd w:fill="FFFFFF" w:val="clear"/>
        <w:bidi w:val="0"/>
        <w:spacing w:lineRule="auto" w:line="285" w:before="100" w:after="100"/>
        <w:ind w:left="0" w:right="0" w:hanging="0"/>
        <w:jc w:val="center"/>
        <w:rPr/>
      </w:pPr>
      <w:r>
        <w:rPr/>
        <w:t>​</w:t>
      </w:r>
    </w:p>
    <w:p>
      <w:pPr>
        <w:pStyle w:val="TextBody"/>
        <w:shd w:fill="FFFFFF" w:val="clear"/>
        <w:bidi w:val="0"/>
        <w:spacing w:lineRule="auto" w:line="285" w:before="100" w:after="100"/>
        <w:ind w:left="0" w:right="0" w:hanging="0"/>
        <w:jc w:val="center"/>
        <w:rPr/>
      </w:pPr>
      <w:r>
        <w:rPr/>
        <w:t>​</w:t>
      </w:r>
    </w:p>
    <w:p>
      <w:pPr>
        <w:pStyle w:val="TextBody"/>
        <w:shd w:fill="FFFFFF" w:val="clear"/>
        <w:bidi w:val="0"/>
        <w:spacing w:lineRule="auto" w:line="285" w:before="100" w:after="100"/>
        <w:ind w:left="0" w:right="0" w:hanging="0"/>
        <w:jc w:val="center"/>
        <w:rPr/>
      </w:pPr>
      <w:r>
        <w:rPr/>
        <w:t>​</w:t>
      </w:r>
    </w:p>
    <w:p>
      <w:pPr>
        <w:pStyle w:val="TextBody"/>
        <w:shd w:fill="FFFFFF" w:val="clear"/>
        <w:bidi w:val="0"/>
        <w:spacing w:lineRule="auto" w:line="285" w:before="100" w:after="100"/>
        <w:ind w:left="0" w:right="0" w:hanging="0"/>
        <w:jc w:val="center"/>
        <w:rPr/>
      </w:pPr>
      <w:r>
        <w:rPr/>
        <w:t>​</w:t>
      </w:r>
    </w:p>
    <w:p>
      <w:pPr>
        <w:pStyle w:val="TextBody"/>
        <w:shd w:fill="FFFFFF" w:val="clear"/>
        <w:bidi w:val="0"/>
        <w:spacing w:lineRule="auto" w:line="285" w:before="100" w:after="100"/>
        <w:ind w:left="0" w:right="0" w:hanging="0"/>
        <w:jc w:val="center"/>
        <w:rPr/>
      </w:pPr>
      <w:r>
        <w:rPr/>
        <w:t>​</w:t>
      </w:r>
    </w:p>
    <w:p>
      <w:pPr>
        <w:pStyle w:val="TextBody"/>
        <w:shd w:fill="FFFFFF" w:val="clear"/>
        <w:bidi w:val="0"/>
        <w:spacing w:lineRule="auto" w:line="285" w:before="100" w:after="100"/>
        <w:ind w:left="0" w:right="0" w:hanging="0"/>
        <w:jc w:val="center"/>
        <w:rPr/>
      </w:pPr>
      <w:r>
        <w:rPr/>
        <w:t>​</w:t>
      </w:r>
    </w:p>
    <w:p>
      <w:pPr>
        <w:pStyle w:val="TextBody"/>
        <w:shd w:fill="FFFFFF" w:val="clear"/>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The accompanying notes are an integral part of these unaudited condensed consolidated financial statements.</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5</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0"/>
        <w:ind w:left="0" w:right="0" w:hanging="0"/>
        <w:jc w:val="center"/>
        <w:rPr>
          <w:rFonts w:ascii="Times New Roman;Times;serif" w:hAnsi="Times New Roman;Times;serif"/>
          <w:b/>
          <w:sz w:val="20"/>
        </w:rPr>
      </w:pPr>
      <w:bookmarkStart w:id="404" w:name="_ebbd7aa7_f2cb_45b7_9c60_db1d3c59f91a"/>
      <w:bookmarkEnd w:id="404"/>
      <w:r>
        <w:rPr>
          <w:rFonts w:ascii="Times New Roman;Times;serif" w:hAnsi="Times New Roman;Times;serif"/>
          <w:b/>
          <w:sz w:val="20"/>
        </w:rPr>
        <w:t>MetaVia Inc.</w:t>
      </w:r>
    </w:p>
    <w:p>
      <w:pPr>
        <w:pStyle w:val="TextBody"/>
        <w:bidi w:val="0"/>
        <w:spacing w:lineRule="auto" w:line="285" w:before="0" w:after="0"/>
        <w:ind w:left="0" w:right="0" w:hanging="0"/>
        <w:jc w:val="center"/>
        <w:rPr>
          <w:rFonts w:ascii="Times New Roman;Times;serif" w:hAnsi="Times New Roman;Times;serif"/>
          <w:b/>
          <w:sz w:val="20"/>
        </w:rPr>
      </w:pPr>
      <w:bookmarkStart w:id="405" w:name="CashFlows_19527"/>
      <w:bookmarkEnd w:id="405"/>
      <w:r>
        <w:rPr>
          <w:rFonts w:ascii="Times New Roman;Times;serif" w:hAnsi="Times New Roman;Times;serif"/>
          <w:b/>
          <w:sz w:val="20"/>
        </w:rPr>
        <w:t>Condensed Consolidated Statements of Cash Flows</w:t>
      </w:r>
    </w:p>
    <w:p>
      <w:pPr>
        <w:pStyle w:val="TextBody"/>
        <w:bidi w:val="0"/>
        <w:spacing w:lineRule="auto" w:line="285" w:before="0" w:after="0"/>
        <w:ind w:left="0" w:right="0" w:hanging="0"/>
        <w:jc w:val="center"/>
        <w:rPr>
          <w:rFonts w:ascii="Times New Roman;Times;serif" w:hAnsi="Times New Roman;Times;serif"/>
          <w:sz w:val="16"/>
        </w:rPr>
      </w:pPr>
      <w:r>
        <w:rPr>
          <w:rFonts w:ascii="Times New Roman;Times;serif" w:hAnsi="Times New Roman;Times;serif"/>
          <w:sz w:val="16"/>
        </w:rPr>
        <w:t>(Unaudited - In thousands)</w:t>
      </w:r>
    </w:p>
    <w:p>
      <w:pPr>
        <w:pStyle w:val="TextBody"/>
        <w:bidi w:val="0"/>
        <w:spacing w:lineRule="auto" w:line="285" w:before="0" w:after="0"/>
        <w:ind w:left="0" w:right="0" w:hanging="0"/>
        <w:jc w:val="center"/>
        <w:rPr/>
      </w:pPr>
      <w:r>
        <w:rPr/>
        <w:t>​</w:t>
      </w:r>
    </w:p>
    <w:p>
      <w:pPr>
        <w:pStyle w:val="Normal"/>
        <w:bidi w:val="0"/>
        <w:spacing w:before="0" w:after="0"/>
        <w:jc w:val="left"/>
        <w:rPr>
          <w:sz w:val="4"/>
          <w:szCs w:val="4"/>
        </w:rPr>
      </w:pPr>
      <w:r>
        <w:rPr>
          <w:sz w:val="4"/>
          <w:szCs w:val="4"/>
        </w:rPr>
      </w:r>
      <w:bookmarkStart w:id="406" w:name="Tc_Fn7QL7tt0020niARS-WE0Q_34_4"/>
      <w:bookmarkStart w:id="407" w:name="Tc_if36qr-NAEq7MoBXHD-kwg_34_1"/>
      <w:bookmarkStart w:id="408" w:name="Tc_djORivRmPU-oPl-Cgqpcww_34_0"/>
      <w:bookmarkStart w:id="409" w:name="Tc__VNDz5x1OU-TxtxTIwlWdg_33_0"/>
      <w:bookmarkStart w:id="410" w:name="Tc_6VW5coopOEqlVHNVXxq8MA_31_4"/>
      <w:bookmarkStart w:id="411" w:name="Tc_8LxZ0Qs0FEyV1NuA70xeig_31_1"/>
      <w:bookmarkStart w:id="412" w:name="Tc_66d00VhBQEa4vv3ruP1Yww_31_0"/>
      <w:bookmarkStart w:id="413" w:name="Tc_mW7GQVHOski6visXnhFKig_30_0"/>
      <w:bookmarkStart w:id="414" w:name="Tc_4gzty-glOEmXNk5VBgMWuQ_29_0"/>
      <w:bookmarkStart w:id="415" w:name="Tc_MUg6SquAYUKLsKC8Reuy3A_28_0"/>
      <w:bookmarkStart w:id="416" w:name="Tc_40iFnBEn2UuziL2JXW5DFw_27_2"/>
      <w:bookmarkStart w:id="417" w:name="Tc_2h_yVnbnPkihVPbzOT8qMg_27_0"/>
      <w:bookmarkStart w:id="418" w:name="Tc_XR1rJ8HAFkCsIYud6X6IKw_26_0"/>
      <w:bookmarkStart w:id="419" w:name="Tc_hg-CwO-kCECWrgwmzLup4Q_25_2"/>
      <w:bookmarkStart w:id="420" w:name="Tc_qk6dDvdP30Som-om-NBXSA_25_0"/>
      <w:bookmarkStart w:id="421" w:name="Tc_-SSe9YZMqUWl4eE37vfDpw_24_2"/>
      <w:bookmarkStart w:id="422" w:name="Tc_mk9_BHPiGEu5ZzF14rlfAg_24_0"/>
      <w:bookmarkStart w:id="423" w:name="Tc_8f7w1jiA_Ea3mI0q_6SnSA_23_5"/>
      <w:bookmarkStart w:id="424" w:name="Tc_K9wrGWOzNkSqEbgH81NgxQ_23_0"/>
      <w:bookmarkStart w:id="425" w:name="Tc_yJTle4-ITkuTqrLsi2RDGA_22_5"/>
      <w:bookmarkStart w:id="426" w:name="Tc_ul-J3RrZ7ESK7svUxwxqbg_22_0"/>
      <w:bookmarkStart w:id="427" w:name="Tc_jqcPuMZ0TUeQ2CvqhFIxjg_21_5"/>
      <w:bookmarkStart w:id="428" w:name="Tc_D5Fqh-oe3kuKEMHzQyuvoQ_21_0"/>
      <w:bookmarkStart w:id="429" w:name="Tc_pVq1tYkM-0mtKySnI9AZiQ_20_5"/>
      <w:bookmarkStart w:id="430" w:name="Tc_Cm-btMf5jkuYY4sCXwOrUg_20_0"/>
      <w:bookmarkStart w:id="431" w:name="Tc_m2I8NyHOSEK3VnnIxwwk0g_19_0"/>
      <w:bookmarkStart w:id="432" w:name="Tc_hgdKPfXd60OdALbiOvtoUw_18_2"/>
      <w:bookmarkStart w:id="433" w:name="Tc_rHhNTBR_Q0Kpgu4UsKq4Ww_18_0"/>
      <w:bookmarkStart w:id="434" w:name="Tc_k4gxZyBNMEyZt6GLBM5ddg_17_2"/>
      <w:bookmarkStart w:id="435" w:name="Tc_zzdOKaQUME-yB7Rn2wE74Q_17_0"/>
      <w:bookmarkStart w:id="436" w:name="Tc_hCszOY0poUCT0ggR3W528w_16_0"/>
      <w:bookmarkStart w:id="437" w:name="Tc_F11fPRteXEGh6D75ov1vhQ_15_0"/>
      <w:bookmarkStart w:id="438" w:name="Tc_YFR_ur-ARUS0n_XYw8qAlw_14_0"/>
      <w:bookmarkStart w:id="439" w:name="Tc_j-UWD1S_d0eWrW7HbAzDLA_13_0"/>
      <w:bookmarkStart w:id="440" w:name="Tc_qnree-1i9UGMU6k1tqU6Bw_12_0"/>
      <w:bookmarkStart w:id="441" w:name="Tc_eeFHW3IbwE-BiudH7a1dpg_11_0"/>
      <w:bookmarkStart w:id="442" w:name="Tc_IWWmk1rzHkKi7fzBSI2BnA_10_0"/>
      <w:bookmarkStart w:id="443" w:name="Tc_mnMrEkbIKESsq8Qy6Zu7Qg_9_0"/>
      <w:bookmarkStart w:id="444" w:name="Tc_9yDP9Tg2nEy2U7DhzfomYw_8_0"/>
      <w:bookmarkStart w:id="445" w:name="Tc_XF0OHVV21EuKfLgWaO4-zg_7_5"/>
      <w:bookmarkStart w:id="446" w:name="Tc_mynHuQ4pzUOqtR-UCYiFpw_7_0"/>
      <w:bookmarkStart w:id="447" w:name="Tc_QQXOw793LkqteEl4wyN6Qg_6_0"/>
      <w:bookmarkStart w:id="448" w:name="Tc_20wMutzmQ0iO2Nx4PH3b9w_5_0"/>
      <w:bookmarkStart w:id="449" w:name="Tc_i1jnJxB7u0aIhE8dqecNvQ_4_4"/>
      <w:bookmarkStart w:id="450" w:name="Tc_MU5Zp2Kc20-ZiqD96Q1yvQ_4_1"/>
      <w:bookmarkStart w:id="451" w:name="Tc_JNm7Jj_0-kK9LyPIJ1BNWA_4_0"/>
      <w:bookmarkStart w:id="452" w:name="Tc_bmyf2pbYakKM4eF0ss5fzg_3_0"/>
      <w:bookmarkStart w:id="453" w:name="Tc_VUEcW3n9hUG7ON5Gi6xlDQ_2_4"/>
      <w:bookmarkStart w:id="454" w:name="Tc_bTwpOMxBDEKTwzVAYnG9mQ_2_1"/>
      <w:bookmarkStart w:id="455" w:name="Tc_yk-HmJGmLESo6Qp-zTaH_g_1_1"/>
      <w:bookmarkStart w:id="456" w:name="_e3c8e9c1_77e4_49c2_a4a7_f43bf3e73504"/>
      <w:bookmarkStart w:id="457" w:name="Tc_Fn7QL7tt0020niARS-WE0Q_34_4"/>
      <w:bookmarkStart w:id="458" w:name="Tc_if36qr-NAEq7MoBXHD-kwg_34_1"/>
      <w:bookmarkStart w:id="459" w:name="Tc_djORivRmPU-oPl-Cgqpcww_34_0"/>
      <w:bookmarkStart w:id="460" w:name="Tc__VNDz5x1OU-TxtxTIwlWdg_33_0"/>
      <w:bookmarkStart w:id="461" w:name="Tc_6VW5coopOEqlVHNVXxq8MA_31_4"/>
      <w:bookmarkStart w:id="462" w:name="Tc_8LxZ0Qs0FEyV1NuA70xeig_31_1"/>
      <w:bookmarkStart w:id="463" w:name="Tc_66d00VhBQEa4vv3ruP1Yww_31_0"/>
      <w:bookmarkStart w:id="464" w:name="Tc_mW7GQVHOski6visXnhFKig_30_0"/>
      <w:bookmarkStart w:id="465" w:name="Tc_4gzty-glOEmXNk5VBgMWuQ_29_0"/>
      <w:bookmarkStart w:id="466" w:name="Tc_MUg6SquAYUKLsKC8Reuy3A_28_0"/>
      <w:bookmarkStart w:id="467" w:name="Tc_40iFnBEn2UuziL2JXW5DFw_27_2"/>
      <w:bookmarkStart w:id="468" w:name="Tc_2h_yVnbnPkihVPbzOT8qMg_27_0"/>
      <w:bookmarkStart w:id="469" w:name="Tc_XR1rJ8HAFkCsIYud6X6IKw_26_0"/>
      <w:bookmarkStart w:id="470" w:name="Tc_hg-CwO-kCECWrgwmzLup4Q_25_2"/>
      <w:bookmarkStart w:id="471" w:name="Tc_qk6dDvdP30Som-om-NBXSA_25_0"/>
      <w:bookmarkStart w:id="472" w:name="Tc_-SSe9YZMqUWl4eE37vfDpw_24_2"/>
      <w:bookmarkStart w:id="473" w:name="Tc_mk9_BHPiGEu5ZzF14rlfAg_24_0"/>
      <w:bookmarkStart w:id="474" w:name="Tc_8f7w1jiA_Ea3mI0q_6SnSA_23_5"/>
      <w:bookmarkStart w:id="475" w:name="Tc_K9wrGWOzNkSqEbgH81NgxQ_23_0"/>
      <w:bookmarkStart w:id="476" w:name="Tc_yJTle4-ITkuTqrLsi2RDGA_22_5"/>
      <w:bookmarkStart w:id="477" w:name="Tc_ul-J3RrZ7ESK7svUxwxqbg_22_0"/>
      <w:bookmarkStart w:id="478" w:name="Tc_jqcPuMZ0TUeQ2CvqhFIxjg_21_5"/>
      <w:bookmarkStart w:id="479" w:name="Tc_D5Fqh-oe3kuKEMHzQyuvoQ_21_0"/>
      <w:bookmarkStart w:id="480" w:name="Tc_pVq1tYkM-0mtKySnI9AZiQ_20_5"/>
      <w:bookmarkStart w:id="481" w:name="Tc_Cm-btMf5jkuYY4sCXwOrUg_20_0"/>
      <w:bookmarkStart w:id="482" w:name="Tc_m2I8NyHOSEK3VnnIxwwk0g_19_0"/>
      <w:bookmarkStart w:id="483" w:name="Tc_hgdKPfXd60OdALbiOvtoUw_18_2"/>
      <w:bookmarkStart w:id="484" w:name="Tc_rHhNTBR_Q0Kpgu4UsKq4Ww_18_0"/>
      <w:bookmarkStart w:id="485" w:name="Tc_k4gxZyBNMEyZt6GLBM5ddg_17_2"/>
      <w:bookmarkStart w:id="486" w:name="Tc_zzdOKaQUME-yB7Rn2wE74Q_17_0"/>
      <w:bookmarkStart w:id="487" w:name="Tc_hCszOY0poUCT0ggR3W528w_16_0"/>
      <w:bookmarkStart w:id="488" w:name="Tc_F11fPRteXEGh6D75ov1vhQ_15_0"/>
      <w:bookmarkStart w:id="489" w:name="Tc_YFR_ur-ARUS0n_XYw8qAlw_14_0"/>
      <w:bookmarkStart w:id="490" w:name="Tc_j-UWD1S_d0eWrW7HbAzDLA_13_0"/>
      <w:bookmarkStart w:id="491" w:name="Tc_qnree-1i9UGMU6k1tqU6Bw_12_0"/>
      <w:bookmarkStart w:id="492" w:name="Tc_eeFHW3IbwE-BiudH7a1dpg_11_0"/>
      <w:bookmarkStart w:id="493" w:name="Tc_IWWmk1rzHkKi7fzBSI2BnA_10_0"/>
      <w:bookmarkStart w:id="494" w:name="Tc_mnMrEkbIKESsq8Qy6Zu7Qg_9_0"/>
      <w:bookmarkStart w:id="495" w:name="Tc_9yDP9Tg2nEy2U7DhzfomYw_8_0"/>
      <w:bookmarkStart w:id="496" w:name="Tc_XF0OHVV21EuKfLgWaO4-zg_7_5"/>
      <w:bookmarkStart w:id="497" w:name="Tc_mynHuQ4pzUOqtR-UCYiFpw_7_0"/>
      <w:bookmarkStart w:id="498" w:name="Tc_QQXOw793LkqteEl4wyN6Qg_6_0"/>
      <w:bookmarkStart w:id="499" w:name="Tc_20wMutzmQ0iO2Nx4PH3b9w_5_0"/>
      <w:bookmarkStart w:id="500" w:name="Tc_i1jnJxB7u0aIhE8dqecNvQ_4_4"/>
      <w:bookmarkStart w:id="501" w:name="Tc_MU5Zp2Kc20-ZiqD96Q1yvQ_4_1"/>
      <w:bookmarkStart w:id="502" w:name="Tc_JNm7Jj_0-kK9LyPIJ1BNWA_4_0"/>
      <w:bookmarkStart w:id="503" w:name="Tc_bmyf2pbYakKM4eF0ss5fzg_3_0"/>
      <w:bookmarkStart w:id="504" w:name="Tc_VUEcW3n9hUG7ON5Gi6xlDQ_2_4"/>
      <w:bookmarkStart w:id="505" w:name="Tc_bTwpOMxBDEKTwzVAYnG9mQ_2_1"/>
      <w:bookmarkStart w:id="506" w:name="Tc_yk-HmJGmLESo6Qp-zTaH_g_1_1"/>
      <w:bookmarkStart w:id="507" w:name="_e3c8e9c1_77e4_49c2_a4a7_f43bf3e73504"/>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p>
    <w:tbl>
      <w:tblPr>
        <w:tblW w:w="10205" w:type="dxa"/>
        <w:jc w:val="left"/>
        <w:tblInd w:w="0" w:type="dxa"/>
        <w:tblLayout w:type="fixed"/>
        <w:tblCellMar>
          <w:top w:w="0" w:type="dxa"/>
          <w:left w:w="0" w:type="dxa"/>
          <w:bottom w:w="0" w:type="dxa"/>
          <w:right w:w="0" w:type="dxa"/>
        </w:tblCellMar>
      </w:tblPr>
      <w:tblGrid>
        <w:gridCol w:w="8015"/>
        <w:gridCol w:w="237"/>
        <w:gridCol w:w="771"/>
        <w:gridCol w:w="122"/>
        <w:gridCol w:w="237"/>
        <w:gridCol w:w="823"/>
      </w:tblGrid>
      <w:tr>
        <w:trPr/>
        <w:tc>
          <w:tcPr>
            <w:tcW w:w="801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5089525" cy="175260"/>
                      <wp:effectExtent l="0" t="0" r="0" b="0"/>
                      <wp:wrapNone/>
                      <wp:docPr id="53" name="Frame52"/>
                      <a:graphic xmlns:a="http://schemas.openxmlformats.org/drawingml/2006/main">
                        <a:graphicData uri="http://schemas.microsoft.com/office/word/2010/wordprocessingShape">
                          <wps:wsp>
                            <wps:cNvSpPr txBox="1"/>
                            <wps:spPr>
                              <a:xfrm>
                                <a:off x="0" y="0"/>
                                <a:ext cx="508952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0.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3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150495" cy="175260"/>
                      <wp:effectExtent l="0" t="0" r="0" b="0"/>
                      <wp:wrapNone/>
                      <wp:docPr id="54" name="Frame53"/>
                      <a:graphic xmlns:a="http://schemas.openxmlformats.org/drawingml/2006/main">
                        <a:graphicData uri="http://schemas.microsoft.com/office/word/2010/wordprocessingShape">
                          <wps:wsp>
                            <wps:cNvSpPr txBox="1"/>
                            <wps:spPr>
                              <a:xfrm>
                                <a:off x="0" y="0"/>
                                <a:ext cx="15049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7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489585" cy="175260"/>
                      <wp:effectExtent l="0" t="0" r="0" b="0"/>
                      <wp:wrapNone/>
                      <wp:docPr id="55" name="Frame54"/>
                      <a:graphic xmlns:a="http://schemas.openxmlformats.org/drawingml/2006/main">
                        <a:graphicData uri="http://schemas.microsoft.com/office/word/2010/wordprocessingShape">
                          <wps:wsp>
                            <wps:cNvSpPr txBox="1"/>
                            <wps:spPr>
                              <a:xfrm>
                                <a:off x="0" y="0"/>
                                <a:ext cx="4895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2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77470" cy="175260"/>
                      <wp:effectExtent l="0" t="0" r="0" b="0"/>
                      <wp:wrapNone/>
                      <wp:docPr id="56" name="Frame55"/>
                      <a:graphic xmlns:a="http://schemas.openxmlformats.org/drawingml/2006/main">
                        <a:graphicData uri="http://schemas.microsoft.com/office/word/2010/wordprocessingShape">
                          <wps:wsp>
                            <wps:cNvSpPr txBox="1"/>
                            <wps:spPr>
                              <a:xfrm>
                                <a:off x="0" y="0"/>
                                <a:ext cx="7747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3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150495" cy="175260"/>
                      <wp:effectExtent l="0" t="0" r="0" b="0"/>
                      <wp:wrapNone/>
                      <wp:docPr id="57" name="Frame56"/>
                      <a:graphic xmlns:a="http://schemas.openxmlformats.org/drawingml/2006/main">
                        <a:graphicData uri="http://schemas.microsoft.com/office/word/2010/wordprocessingShape">
                          <wps:wsp>
                            <wps:cNvSpPr txBox="1"/>
                            <wps:spPr>
                              <a:xfrm>
                                <a:off x="0" y="0"/>
                                <a:ext cx="15049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82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522605" cy="175260"/>
                      <wp:effectExtent l="0" t="0" r="0" b="0"/>
                      <wp:wrapNone/>
                      <wp:docPr id="58" name="Frame57"/>
                      <a:graphic xmlns:a="http://schemas.openxmlformats.org/drawingml/2006/main">
                        <a:graphicData uri="http://schemas.microsoft.com/office/word/2010/wordprocessingShape">
                          <wps:wsp>
                            <wps:cNvSpPr txBox="1"/>
                            <wps:spPr>
                              <a:xfrm>
                                <a:off x="0" y="0"/>
                                <a:ext cx="52260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r>
      <w:tr>
        <w:trPr/>
        <w:tc>
          <w:tcPr>
            <w:tcW w:w="8015" w:type="dxa"/>
            <w:tcBorders/>
            <w:vAlign w:val="center"/>
          </w:tcPr>
          <w:p>
            <w:pPr>
              <w:pStyle w:val="TableContents"/>
              <w:bidi w:val="0"/>
              <w:spacing w:lineRule="auto" w:line="285" w:before="0" w:after="0"/>
              <w:ind w:left="0" w:right="0" w:hanging="0"/>
              <w:jc w:val="center"/>
              <w:rPr/>
            </w:pPr>
            <w:r>
              <w:rPr/>
              <w:t>​</w:t>
            </w:r>
          </w:p>
        </w:tc>
        <w:tc>
          <w:tcPr>
            <w:tcW w:w="2190" w:type="dxa"/>
            <w:gridSpan w:val="5"/>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Six Months Ended June 30,</w:t>
            </w:r>
          </w:p>
        </w:tc>
      </w:tr>
      <w:tr>
        <w:trPr/>
        <w:tc>
          <w:tcPr>
            <w:tcW w:w="8015" w:type="dxa"/>
            <w:tcBorders>
              <w:bottom w:val="single" w:sz="2" w:space="0" w:color="000000"/>
            </w:tcBorders>
            <w:tcMar>
              <w:bottom w:w="28" w:type="dxa"/>
            </w:tcMar>
            <w:vAlign w:val="center"/>
          </w:tcPr>
          <w:p>
            <w:pPr>
              <w:pStyle w:val="TableContents"/>
              <w:bidi w:val="0"/>
              <w:spacing w:lineRule="auto" w:line="285" w:before="0" w:after="0"/>
              <w:ind w:left="0" w:right="0" w:hanging="0"/>
              <w:jc w:val="center"/>
              <w:rPr/>
            </w:pPr>
            <w:r>
              <w:rPr/>
              <w:t>​</w:t>
            </w:r>
          </w:p>
        </w:tc>
        <w:tc>
          <w:tcPr>
            <w:tcW w:w="1008"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2026</w:t>
            </w:r>
          </w:p>
        </w:tc>
        <w:tc>
          <w:tcPr>
            <w:tcW w:w="122"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1060"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2025</w:t>
            </w:r>
          </w:p>
        </w:tc>
      </w:tr>
      <w:tr>
        <w:trPr/>
        <w:tc>
          <w:tcPr>
            <w:tcW w:w="8015"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Operating activities</w:t>
            </w:r>
          </w:p>
        </w:tc>
        <w:tc>
          <w:tcPr>
            <w:tcW w:w="237" w:type="dxa"/>
            <w:tcBorders/>
            <w:shd w:fill="CCEEFF" w:val="clear"/>
            <w:vAlign w:val="center"/>
          </w:tcPr>
          <w:p>
            <w:pPr>
              <w:pStyle w:val="TableContents"/>
              <w:bidi w:val="0"/>
              <w:spacing w:lineRule="auto" w:line="285" w:before="0" w:after="0"/>
              <w:ind w:left="0" w:right="0" w:hanging="0"/>
              <w:jc w:val="left"/>
              <w:rPr/>
            </w:pPr>
            <w:r>
              <w:rPr/>
              <w:t>​</w:t>
            </w:r>
          </w:p>
        </w:tc>
        <w:tc>
          <w:tcPr>
            <w:tcW w:w="771" w:type="dxa"/>
            <w:tcBorders/>
            <w:shd w:fill="CCEEFF" w:val="clear"/>
            <w:vAlign w:val="center"/>
          </w:tcPr>
          <w:p>
            <w:pPr>
              <w:pStyle w:val="TableContents"/>
              <w:bidi w:val="0"/>
              <w:spacing w:lineRule="auto" w:line="285" w:before="0" w:after="0"/>
              <w:ind w:left="0" w:right="0" w:hanging="0"/>
              <w:jc w:val="left"/>
              <w:rPr/>
            </w:pPr>
            <w:r>
              <w:rPr/>
              <w:t>​</w:t>
            </w:r>
          </w:p>
        </w:tc>
        <w:tc>
          <w:tcPr>
            <w:tcW w:w="122" w:type="dxa"/>
            <w:tcBorders/>
            <w:shd w:fill="CCEEFF" w:val="clear"/>
            <w:vAlign w:val="center"/>
          </w:tcPr>
          <w:p>
            <w:pPr>
              <w:pStyle w:val="TableContents"/>
              <w:bidi w:val="0"/>
              <w:spacing w:lineRule="auto" w:line="285" w:before="0" w:after="0"/>
              <w:ind w:left="0" w:right="0" w:hanging="0"/>
              <w:jc w:val="left"/>
              <w:rPr/>
            </w:pPr>
            <w:r>
              <w:rPr/>
              <w:t>​</w:t>
            </w:r>
          </w:p>
        </w:tc>
        <w:tc>
          <w:tcPr>
            <w:tcW w:w="237" w:type="dxa"/>
            <w:tcBorders/>
            <w:shd w:fill="CCEEFF" w:val="clear"/>
            <w:vAlign w:val="center"/>
          </w:tcPr>
          <w:p>
            <w:pPr>
              <w:pStyle w:val="TableContents"/>
              <w:bidi w:val="0"/>
              <w:spacing w:lineRule="auto" w:line="285" w:before="0" w:after="0"/>
              <w:ind w:left="0" w:right="0" w:hanging="0"/>
              <w:jc w:val="left"/>
              <w:rPr/>
            </w:pPr>
            <w:r>
              <w:rPr/>
              <w:t>​</w:t>
            </w:r>
          </w:p>
        </w:tc>
        <w:tc>
          <w:tcPr>
            <w:tcW w:w="823" w:type="dxa"/>
            <w:tcBorders/>
            <w:shd w:fill="CCEEFF" w:val="clear"/>
            <w:vAlign w:val="center"/>
          </w:tcPr>
          <w:p>
            <w:pPr>
              <w:pStyle w:val="TableContents"/>
              <w:bidi w:val="0"/>
              <w:spacing w:lineRule="auto" w:line="285" w:before="0" w:after="0"/>
              <w:ind w:left="0" w:right="0" w:hanging="0"/>
              <w:jc w:val="left"/>
              <w:rPr/>
            </w:pPr>
            <w:r>
              <w:rPr/>
              <w:t>​</w:t>
            </w:r>
          </w:p>
        </w:tc>
      </w:tr>
      <w:tr>
        <w:trPr/>
        <w:tc>
          <w:tcPr>
            <w:tcW w:w="8015"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Net loss</w:t>
            </w:r>
          </w:p>
        </w:tc>
        <w:tc>
          <w:tcPr>
            <w:tcW w:w="237"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71"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(9,139)</w:t>
            </w:r>
          </w:p>
        </w:tc>
        <w:tc>
          <w:tcPr>
            <w:tcW w:w="122" w:type="dxa"/>
            <w:tcBorders/>
            <w:vAlign w:val="center"/>
          </w:tcPr>
          <w:p>
            <w:pPr>
              <w:pStyle w:val="TableContents"/>
              <w:bidi w:val="0"/>
              <w:spacing w:lineRule="auto" w:line="285" w:before="0" w:after="0"/>
              <w:ind w:left="0" w:right="0" w:hanging="0"/>
              <w:jc w:val="left"/>
              <w:rPr/>
            </w:pPr>
            <w:r>
              <w:rPr/>
              <w:t>​</w:t>
            </w:r>
          </w:p>
        </w:tc>
        <w:tc>
          <w:tcPr>
            <w:tcW w:w="237"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3"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(7,666)</w:t>
            </w:r>
          </w:p>
        </w:tc>
      </w:tr>
      <w:tr>
        <w:trPr/>
        <w:tc>
          <w:tcPr>
            <w:tcW w:w="8015"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Adjustments to reconcile net loss to net cash used in operating activities:</w:t>
            </w:r>
          </w:p>
        </w:tc>
        <w:tc>
          <w:tcPr>
            <w:tcW w:w="237" w:type="dxa"/>
            <w:tcBorders/>
            <w:shd w:fill="CCEEFF" w:val="clear"/>
            <w:vAlign w:val="center"/>
          </w:tcPr>
          <w:p>
            <w:pPr>
              <w:pStyle w:val="TableContents"/>
              <w:bidi w:val="0"/>
              <w:spacing w:lineRule="auto" w:line="285" w:before="0" w:after="0"/>
              <w:ind w:left="0" w:right="0" w:hanging="0"/>
              <w:jc w:val="left"/>
              <w:rPr/>
            </w:pPr>
            <w:r>
              <w:rPr/>
              <w:t>​</w:t>
            </w:r>
          </w:p>
        </w:tc>
        <w:tc>
          <w:tcPr>
            <w:tcW w:w="771" w:type="dxa"/>
            <w:tcBorders/>
            <w:shd w:fill="CCEEFF" w:val="clear"/>
            <w:vAlign w:val="center"/>
          </w:tcPr>
          <w:p>
            <w:pPr>
              <w:pStyle w:val="TableContents"/>
              <w:bidi w:val="0"/>
              <w:spacing w:lineRule="auto" w:line="285" w:before="0" w:after="0"/>
              <w:ind w:left="0" w:right="0" w:hanging="0"/>
              <w:jc w:val="left"/>
              <w:rPr/>
            </w:pPr>
            <w:r>
              <w:rPr/>
              <w:t>​</w:t>
            </w:r>
          </w:p>
        </w:tc>
        <w:tc>
          <w:tcPr>
            <w:tcW w:w="122" w:type="dxa"/>
            <w:tcBorders/>
            <w:shd w:fill="CCEEFF" w:val="clear"/>
            <w:vAlign w:val="center"/>
          </w:tcPr>
          <w:p>
            <w:pPr>
              <w:pStyle w:val="TableContents"/>
              <w:bidi w:val="0"/>
              <w:spacing w:lineRule="auto" w:line="285" w:before="0" w:after="0"/>
              <w:ind w:left="0" w:right="0" w:hanging="0"/>
              <w:jc w:val="left"/>
              <w:rPr/>
            </w:pPr>
            <w:r>
              <w:rPr/>
              <w:t>​</w:t>
            </w:r>
          </w:p>
        </w:tc>
        <w:tc>
          <w:tcPr>
            <w:tcW w:w="237" w:type="dxa"/>
            <w:tcBorders/>
            <w:shd w:fill="CCEEFF" w:val="clear"/>
            <w:vAlign w:val="center"/>
          </w:tcPr>
          <w:p>
            <w:pPr>
              <w:pStyle w:val="TableContents"/>
              <w:bidi w:val="0"/>
              <w:spacing w:lineRule="auto" w:line="285" w:before="0" w:after="0"/>
              <w:ind w:left="0" w:right="0" w:hanging="0"/>
              <w:jc w:val="left"/>
              <w:rPr/>
            </w:pPr>
            <w:r>
              <w:rPr/>
              <w:t>​</w:t>
            </w:r>
          </w:p>
        </w:tc>
        <w:tc>
          <w:tcPr>
            <w:tcW w:w="823" w:type="dxa"/>
            <w:tcBorders/>
            <w:shd w:fill="CCEEFF" w:val="clear"/>
            <w:vAlign w:val="center"/>
          </w:tcPr>
          <w:p>
            <w:pPr>
              <w:pStyle w:val="TableContents"/>
              <w:bidi w:val="0"/>
              <w:spacing w:lineRule="auto" w:line="285" w:before="0" w:after="0"/>
              <w:ind w:left="0" w:right="0" w:hanging="0"/>
              <w:jc w:val="left"/>
              <w:rPr/>
            </w:pPr>
            <w:r>
              <w:rPr/>
              <w:t>​</w:t>
            </w:r>
          </w:p>
        </w:tc>
      </w:tr>
      <w:tr>
        <w:trPr/>
        <w:tc>
          <w:tcPr>
            <w:tcW w:w="8015"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Stock-based compensation</w:t>
            </w:r>
          </w:p>
        </w:tc>
        <w:tc>
          <w:tcPr>
            <w:tcW w:w="237" w:type="dxa"/>
            <w:tcBorders/>
            <w:vAlign w:val="center"/>
          </w:tcPr>
          <w:p>
            <w:pPr>
              <w:pStyle w:val="TableContents"/>
              <w:bidi w:val="0"/>
              <w:spacing w:lineRule="auto" w:line="285" w:before="0" w:after="0"/>
              <w:ind w:left="0" w:right="0" w:hanging="0"/>
              <w:jc w:val="left"/>
              <w:rPr/>
            </w:pPr>
            <w:r>
              <w:rPr/>
              <w:t> </w:t>
            </w:r>
          </w:p>
        </w:tc>
        <w:tc>
          <w:tcPr>
            <w:tcW w:w="771"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230</w:t>
            </w:r>
          </w:p>
        </w:tc>
        <w:tc>
          <w:tcPr>
            <w:tcW w:w="122" w:type="dxa"/>
            <w:tcBorders/>
            <w:vAlign w:val="center"/>
          </w:tcPr>
          <w:p>
            <w:pPr>
              <w:pStyle w:val="TableContents"/>
              <w:bidi w:val="0"/>
              <w:spacing w:lineRule="auto" w:line="285" w:before="0" w:after="0"/>
              <w:ind w:left="0" w:right="0" w:hanging="0"/>
              <w:jc w:val="left"/>
              <w:rPr/>
            </w:pPr>
            <w:r>
              <w:rPr/>
              <w:t>​</w:t>
            </w:r>
          </w:p>
        </w:tc>
        <w:tc>
          <w:tcPr>
            <w:tcW w:w="237" w:type="dxa"/>
            <w:tcBorders/>
            <w:vAlign w:val="center"/>
          </w:tcPr>
          <w:p>
            <w:pPr>
              <w:pStyle w:val="TableContents"/>
              <w:bidi w:val="0"/>
              <w:spacing w:lineRule="auto" w:line="285" w:before="0" w:after="0"/>
              <w:ind w:left="0" w:right="0" w:hanging="0"/>
              <w:jc w:val="left"/>
              <w:rPr/>
            </w:pPr>
            <w:r>
              <w:rPr/>
              <w:t> </w:t>
            </w:r>
          </w:p>
        </w:tc>
        <w:tc>
          <w:tcPr>
            <w:tcW w:w="823"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243</w:t>
            </w:r>
          </w:p>
        </w:tc>
      </w:tr>
      <w:tr>
        <w:trPr/>
        <w:tc>
          <w:tcPr>
            <w:tcW w:w="8015"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Non-cash professional services expenses</w:t>
            </w:r>
          </w:p>
        </w:tc>
        <w:tc>
          <w:tcPr>
            <w:tcW w:w="237" w:type="dxa"/>
            <w:tcBorders/>
            <w:shd w:fill="CCEEFF" w:val="clear"/>
            <w:vAlign w:val="center"/>
          </w:tcPr>
          <w:p>
            <w:pPr>
              <w:pStyle w:val="TableContents"/>
              <w:bidi w:val="0"/>
              <w:spacing w:lineRule="auto" w:line="285" w:before="0" w:after="0"/>
              <w:ind w:left="0" w:right="0" w:hanging="0"/>
              <w:jc w:val="left"/>
              <w:rPr/>
            </w:pPr>
            <w:r>
              <w:rPr/>
              <w:t>​</w:t>
            </w:r>
          </w:p>
        </w:tc>
        <w:tc>
          <w:tcPr>
            <w:tcW w:w="77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144</w:t>
            </w:r>
          </w:p>
        </w:tc>
        <w:tc>
          <w:tcPr>
            <w:tcW w:w="122" w:type="dxa"/>
            <w:tcBorders/>
            <w:shd w:fill="CCEEFF" w:val="clear"/>
            <w:vAlign w:val="center"/>
          </w:tcPr>
          <w:p>
            <w:pPr>
              <w:pStyle w:val="TableContents"/>
              <w:bidi w:val="0"/>
              <w:spacing w:lineRule="auto" w:line="285" w:before="0" w:after="0"/>
              <w:ind w:left="0" w:right="0" w:hanging="0"/>
              <w:jc w:val="left"/>
              <w:rPr/>
            </w:pPr>
            <w:r>
              <w:rPr/>
              <w:t>​</w:t>
            </w:r>
          </w:p>
        </w:tc>
        <w:tc>
          <w:tcPr>
            <w:tcW w:w="237" w:type="dxa"/>
            <w:tcBorders/>
            <w:shd w:fill="CCEEFF" w:val="clear"/>
            <w:vAlign w:val="center"/>
          </w:tcPr>
          <w:p>
            <w:pPr>
              <w:pStyle w:val="TableContents"/>
              <w:bidi w:val="0"/>
              <w:spacing w:lineRule="auto" w:line="285" w:before="0" w:after="0"/>
              <w:ind w:left="0" w:right="0" w:hanging="0"/>
              <w:jc w:val="left"/>
              <w:rPr/>
            </w:pPr>
            <w:r>
              <w:rPr/>
              <w:t>​</w:t>
            </w:r>
          </w:p>
        </w:tc>
        <w:tc>
          <w:tcPr>
            <w:tcW w:w="823" w:type="dxa"/>
            <w:tcBorders/>
            <w:shd w:fill="CCEEFF" w:val="clear"/>
            <w:vAlign w:val="center"/>
          </w:tcPr>
          <w:p>
            <w:pPr>
              <w:pStyle w:val="TableContents"/>
              <w:bidi w:val="0"/>
              <w:spacing w:lineRule="auto" w:line="285" w:before="0" w:after="0"/>
              <w:ind w:left="0" w:right="0" w:hanging="0"/>
              <w:jc w:val="right"/>
              <w:rPr/>
            </w:pPr>
            <w:r>
              <w:rPr/>
              <w:t>—</w:t>
            </w:r>
          </w:p>
        </w:tc>
      </w:tr>
      <w:tr>
        <w:trPr/>
        <w:tc>
          <w:tcPr>
            <w:tcW w:w="8015"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Non-cash lease charge (credit)</w:t>
            </w:r>
          </w:p>
        </w:tc>
        <w:tc>
          <w:tcPr>
            <w:tcW w:w="237" w:type="dxa"/>
            <w:tcBorders/>
            <w:vAlign w:val="center"/>
          </w:tcPr>
          <w:p>
            <w:pPr>
              <w:pStyle w:val="TableContents"/>
              <w:bidi w:val="0"/>
              <w:spacing w:lineRule="auto" w:line="285" w:before="0" w:after="0"/>
              <w:ind w:left="0" w:right="0" w:hanging="0"/>
              <w:jc w:val="left"/>
              <w:rPr/>
            </w:pPr>
            <w:r>
              <w:rPr/>
              <w:t>​</w:t>
            </w:r>
          </w:p>
        </w:tc>
        <w:tc>
          <w:tcPr>
            <w:tcW w:w="771"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w:t>
            </w:r>
          </w:p>
        </w:tc>
        <w:tc>
          <w:tcPr>
            <w:tcW w:w="122" w:type="dxa"/>
            <w:tcBorders/>
            <w:vAlign w:val="center"/>
          </w:tcPr>
          <w:p>
            <w:pPr>
              <w:pStyle w:val="TableContents"/>
              <w:bidi w:val="0"/>
              <w:spacing w:lineRule="auto" w:line="285" w:before="0" w:after="0"/>
              <w:ind w:left="0" w:right="0" w:hanging="0"/>
              <w:jc w:val="left"/>
              <w:rPr/>
            </w:pPr>
            <w:r>
              <w:rPr/>
              <w:t>​</w:t>
            </w:r>
          </w:p>
        </w:tc>
        <w:tc>
          <w:tcPr>
            <w:tcW w:w="237" w:type="dxa"/>
            <w:tcBorders/>
            <w:vAlign w:val="center"/>
          </w:tcPr>
          <w:p>
            <w:pPr>
              <w:pStyle w:val="TableContents"/>
              <w:bidi w:val="0"/>
              <w:spacing w:lineRule="auto" w:line="285" w:before="0" w:after="0"/>
              <w:ind w:left="0" w:right="0" w:hanging="0"/>
              <w:jc w:val="left"/>
              <w:rPr/>
            </w:pPr>
            <w:r>
              <w:rPr/>
              <w:t>​</w:t>
            </w:r>
          </w:p>
        </w:tc>
        <w:tc>
          <w:tcPr>
            <w:tcW w:w="823"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w:t>
            </w:r>
          </w:p>
        </w:tc>
      </w:tr>
      <w:tr>
        <w:trPr/>
        <w:tc>
          <w:tcPr>
            <w:tcW w:w="8015"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Depreciation</w:t>
            </w:r>
          </w:p>
        </w:tc>
        <w:tc>
          <w:tcPr>
            <w:tcW w:w="237" w:type="dxa"/>
            <w:tcBorders/>
            <w:shd w:fill="CCEEFF" w:val="clear"/>
            <w:vAlign w:val="center"/>
          </w:tcPr>
          <w:p>
            <w:pPr>
              <w:pStyle w:val="TableContents"/>
              <w:bidi w:val="0"/>
              <w:spacing w:lineRule="auto" w:line="285" w:before="0" w:after="0"/>
              <w:ind w:left="0" w:right="0" w:hanging="0"/>
              <w:jc w:val="left"/>
              <w:rPr/>
            </w:pPr>
            <w:r>
              <w:rPr/>
              <w:t> </w:t>
            </w:r>
          </w:p>
        </w:tc>
        <w:tc>
          <w:tcPr>
            <w:tcW w:w="77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9</w:t>
            </w:r>
          </w:p>
        </w:tc>
        <w:tc>
          <w:tcPr>
            <w:tcW w:w="122" w:type="dxa"/>
            <w:tcBorders/>
            <w:shd w:fill="CCEEFF" w:val="clear"/>
            <w:vAlign w:val="center"/>
          </w:tcPr>
          <w:p>
            <w:pPr>
              <w:pStyle w:val="TableContents"/>
              <w:bidi w:val="0"/>
              <w:spacing w:lineRule="auto" w:line="285" w:before="0" w:after="0"/>
              <w:ind w:left="0" w:right="0" w:hanging="0"/>
              <w:jc w:val="left"/>
              <w:rPr/>
            </w:pPr>
            <w:r>
              <w:rPr/>
              <w:t>​</w:t>
            </w:r>
          </w:p>
        </w:tc>
        <w:tc>
          <w:tcPr>
            <w:tcW w:w="237" w:type="dxa"/>
            <w:tcBorders/>
            <w:shd w:fill="CCEEFF" w:val="clear"/>
            <w:vAlign w:val="center"/>
          </w:tcPr>
          <w:p>
            <w:pPr>
              <w:pStyle w:val="TableContents"/>
              <w:bidi w:val="0"/>
              <w:spacing w:lineRule="auto" w:line="285" w:before="0" w:after="0"/>
              <w:ind w:left="0" w:right="0" w:hanging="0"/>
              <w:jc w:val="left"/>
              <w:rPr/>
            </w:pPr>
            <w:r>
              <w:rPr/>
              <w:t> </w:t>
            </w:r>
          </w:p>
        </w:tc>
        <w:tc>
          <w:tcPr>
            <w:tcW w:w="823"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9</w:t>
            </w:r>
          </w:p>
        </w:tc>
      </w:tr>
      <w:tr>
        <w:trPr/>
        <w:tc>
          <w:tcPr>
            <w:tcW w:w="8015"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Gain from change in fair value of warrant liabilities</w:t>
            </w:r>
          </w:p>
        </w:tc>
        <w:tc>
          <w:tcPr>
            <w:tcW w:w="237" w:type="dxa"/>
            <w:tcBorders/>
            <w:vAlign w:val="center"/>
          </w:tcPr>
          <w:p>
            <w:pPr>
              <w:pStyle w:val="TableContents"/>
              <w:bidi w:val="0"/>
              <w:spacing w:lineRule="auto" w:line="285" w:before="0" w:after="0"/>
              <w:ind w:left="0" w:right="0" w:hanging="0"/>
              <w:jc w:val="left"/>
              <w:rPr/>
            </w:pPr>
            <w:r>
              <w:rPr/>
              <w:t>​</w:t>
            </w:r>
          </w:p>
        </w:tc>
        <w:tc>
          <w:tcPr>
            <w:tcW w:w="771"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(113)</w:t>
            </w:r>
          </w:p>
        </w:tc>
        <w:tc>
          <w:tcPr>
            <w:tcW w:w="122" w:type="dxa"/>
            <w:tcBorders/>
            <w:vAlign w:val="center"/>
          </w:tcPr>
          <w:p>
            <w:pPr>
              <w:pStyle w:val="TableContents"/>
              <w:bidi w:val="0"/>
              <w:spacing w:lineRule="auto" w:line="285" w:before="0" w:after="0"/>
              <w:ind w:left="0" w:right="0" w:hanging="0"/>
              <w:jc w:val="left"/>
              <w:rPr/>
            </w:pPr>
            <w:r>
              <w:rPr/>
              <w:t>​</w:t>
            </w:r>
          </w:p>
        </w:tc>
        <w:tc>
          <w:tcPr>
            <w:tcW w:w="237" w:type="dxa"/>
            <w:tcBorders/>
            <w:vAlign w:val="center"/>
          </w:tcPr>
          <w:p>
            <w:pPr>
              <w:pStyle w:val="TableContents"/>
              <w:bidi w:val="0"/>
              <w:spacing w:lineRule="auto" w:line="285" w:before="0" w:after="0"/>
              <w:ind w:left="0" w:right="0" w:hanging="0"/>
              <w:jc w:val="left"/>
              <w:rPr/>
            </w:pPr>
            <w:r>
              <w:rPr/>
              <w:t>​</w:t>
            </w:r>
          </w:p>
        </w:tc>
        <w:tc>
          <w:tcPr>
            <w:tcW w:w="823"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(247)</w:t>
            </w:r>
          </w:p>
        </w:tc>
      </w:tr>
      <w:tr>
        <w:trPr/>
        <w:tc>
          <w:tcPr>
            <w:tcW w:w="8015"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Change in operating assets and liabilities</w:t>
            </w:r>
          </w:p>
        </w:tc>
        <w:tc>
          <w:tcPr>
            <w:tcW w:w="237" w:type="dxa"/>
            <w:tcBorders/>
            <w:shd w:fill="CCEEFF" w:val="clear"/>
            <w:vAlign w:val="center"/>
          </w:tcPr>
          <w:p>
            <w:pPr>
              <w:pStyle w:val="TableContents"/>
              <w:bidi w:val="0"/>
              <w:spacing w:lineRule="auto" w:line="285" w:before="0" w:after="0"/>
              <w:ind w:left="0" w:right="0" w:hanging="0"/>
              <w:jc w:val="left"/>
              <w:rPr/>
            </w:pPr>
            <w:r>
              <w:rPr/>
              <w:t>​</w:t>
            </w:r>
          </w:p>
        </w:tc>
        <w:tc>
          <w:tcPr>
            <w:tcW w:w="771" w:type="dxa"/>
            <w:tcBorders/>
            <w:shd w:fill="CCEEFF" w:val="clear"/>
            <w:vAlign w:val="center"/>
          </w:tcPr>
          <w:p>
            <w:pPr>
              <w:pStyle w:val="TableContents"/>
              <w:bidi w:val="0"/>
              <w:spacing w:lineRule="auto" w:line="285" w:before="0" w:after="0"/>
              <w:ind w:left="0" w:right="0" w:hanging="0"/>
              <w:jc w:val="left"/>
              <w:rPr/>
            </w:pPr>
            <w:r>
              <w:rPr/>
              <w:t>​</w:t>
            </w:r>
          </w:p>
        </w:tc>
        <w:tc>
          <w:tcPr>
            <w:tcW w:w="122" w:type="dxa"/>
            <w:tcBorders/>
            <w:shd w:fill="CCEEFF" w:val="clear"/>
            <w:vAlign w:val="center"/>
          </w:tcPr>
          <w:p>
            <w:pPr>
              <w:pStyle w:val="TableContents"/>
              <w:bidi w:val="0"/>
              <w:spacing w:lineRule="auto" w:line="285" w:before="0" w:after="0"/>
              <w:ind w:left="0" w:right="0" w:hanging="0"/>
              <w:jc w:val="left"/>
              <w:rPr/>
            </w:pPr>
            <w:r>
              <w:rPr/>
              <w:t>​</w:t>
            </w:r>
          </w:p>
        </w:tc>
        <w:tc>
          <w:tcPr>
            <w:tcW w:w="237" w:type="dxa"/>
            <w:tcBorders/>
            <w:shd w:fill="CCEEFF" w:val="clear"/>
            <w:vAlign w:val="center"/>
          </w:tcPr>
          <w:p>
            <w:pPr>
              <w:pStyle w:val="TableContents"/>
              <w:bidi w:val="0"/>
              <w:spacing w:lineRule="auto" w:line="285" w:before="0" w:after="0"/>
              <w:ind w:left="0" w:right="0" w:hanging="0"/>
              <w:jc w:val="left"/>
              <w:rPr/>
            </w:pPr>
            <w:r>
              <w:rPr/>
              <w:t>​</w:t>
            </w:r>
          </w:p>
        </w:tc>
        <w:tc>
          <w:tcPr>
            <w:tcW w:w="823" w:type="dxa"/>
            <w:tcBorders/>
            <w:shd w:fill="CCEEFF" w:val="clear"/>
            <w:vAlign w:val="center"/>
          </w:tcPr>
          <w:p>
            <w:pPr>
              <w:pStyle w:val="TableContents"/>
              <w:bidi w:val="0"/>
              <w:spacing w:lineRule="auto" w:line="285" w:before="0" w:after="0"/>
              <w:ind w:left="0" w:right="0" w:hanging="0"/>
              <w:jc w:val="right"/>
              <w:rPr/>
            </w:pPr>
            <w:r>
              <w:rPr/>
              <w:t>​</w:t>
            </w:r>
          </w:p>
        </w:tc>
      </w:tr>
      <w:tr>
        <w:trPr/>
        <w:tc>
          <w:tcPr>
            <w:tcW w:w="8015"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Prepaid expenses and other assets</w:t>
            </w:r>
          </w:p>
        </w:tc>
        <w:tc>
          <w:tcPr>
            <w:tcW w:w="237" w:type="dxa"/>
            <w:tcBorders/>
            <w:vAlign w:val="center"/>
          </w:tcPr>
          <w:p>
            <w:pPr>
              <w:pStyle w:val="TableContents"/>
              <w:bidi w:val="0"/>
              <w:spacing w:lineRule="auto" w:line="285" w:before="0" w:after="0"/>
              <w:ind w:left="0" w:right="0" w:hanging="0"/>
              <w:jc w:val="left"/>
              <w:rPr/>
            </w:pPr>
            <w:r>
              <w:rPr/>
              <w:t> </w:t>
            </w:r>
          </w:p>
        </w:tc>
        <w:tc>
          <w:tcPr>
            <w:tcW w:w="771"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164</w:t>
            </w:r>
          </w:p>
        </w:tc>
        <w:tc>
          <w:tcPr>
            <w:tcW w:w="122" w:type="dxa"/>
            <w:tcBorders/>
            <w:vAlign w:val="center"/>
          </w:tcPr>
          <w:p>
            <w:pPr>
              <w:pStyle w:val="TableContents"/>
              <w:bidi w:val="0"/>
              <w:spacing w:lineRule="auto" w:line="285" w:before="0" w:after="0"/>
              <w:ind w:left="0" w:right="0" w:hanging="0"/>
              <w:jc w:val="left"/>
              <w:rPr/>
            </w:pPr>
            <w:r>
              <w:rPr/>
              <w:t>​</w:t>
            </w:r>
          </w:p>
        </w:tc>
        <w:tc>
          <w:tcPr>
            <w:tcW w:w="237" w:type="dxa"/>
            <w:tcBorders/>
            <w:vAlign w:val="center"/>
          </w:tcPr>
          <w:p>
            <w:pPr>
              <w:pStyle w:val="TableContents"/>
              <w:bidi w:val="0"/>
              <w:spacing w:lineRule="auto" w:line="285" w:before="0" w:after="0"/>
              <w:ind w:left="0" w:right="0" w:hanging="0"/>
              <w:jc w:val="left"/>
              <w:rPr/>
            </w:pPr>
            <w:r>
              <w:rPr/>
              <w:t> </w:t>
            </w:r>
          </w:p>
        </w:tc>
        <w:tc>
          <w:tcPr>
            <w:tcW w:w="823"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(671)</w:t>
            </w:r>
          </w:p>
        </w:tc>
      </w:tr>
      <w:tr>
        <w:trPr/>
        <w:tc>
          <w:tcPr>
            <w:tcW w:w="8015"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Accounts payable</w:t>
            </w:r>
          </w:p>
        </w:tc>
        <w:tc>
          <w:tcPr>
            <w:tcW w:w="237" w:type="dxa"/>
            <w:tcBorders/>
            <w:shd w:fill="CCEEFF" w:val="clear"/>
            <w:vAlign w:val="center"/>
          </w:tcPr>
          <w:p>
            <w:pPr>
              <w:pStyle w:val="TableContents"/>
              <w:bidi w:val="0"/>
              <w:spacing w:lineRule="auto" w:line="285" w:before="0" w:after="0"/>
              <w:ind w:left="0" w:right="0" w:hanging="0"/>
              <w:jc w:val="left"/>
              <w:rPr/>
            </w:pPr>
            <w:r>
              <w:rPr/>
              <w:t> </w:t>
            </w:r>
          </w:p>
        </w:tc>
        <w:tc>
          <w:tcPr>
            <w:tcW w:w="77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(261)</w:t>
            </w:r>
          </w:p>
        </w:tc>
        <w:tc>
          <w:tcPr>
            <w:tcW w:w="122" w:type="dxa"/>
            <w:tcBorders/>
            <w:shd w:fill="CCEEFF" w:val="clear"/>
            <w:vAlign w:val="center"/>
          </w:tcPr>
          <w:p>
            <w:pPr>
              <w:pStyle w:val="TableContents"/>
              <w:bidi w:val="0"/>
              <w:spacing w:lineRule="auto" w:line="285" w:before="0" w:after="0"/>
              <w:ind w:left="0" w:right="0" w:hanging="0"/>
              <w:jc w:val="left"/>
              <w:rPr/>
            </w:pPr>
            <w:r>
              <w:rPr/>
              <w:t>​</w:t>
            </w:r>
          </w:p>
        </w:tc>
        <w:tc>
          <w:tcPr>
            <w:tcW w:w="237" w:type="dxa"/>
            <w:tcBorders/>
            <w:shd w:fill="CCEEFF" w:val="clear"/>
            <w:vAlign w:val="center"/>
          </w:tcPr>
          <w:p>
            <w:pPr>
              <w:pStyle w:val="TableContents"/>
              <w:bidi w:val="0"/>
              <w:spacing w:lineRule="auto" w:line="285" w:before="0" w:after="0"/>
              <w:ind w:left="0" w:right="0" w:hanging="0"/>
              <w:jc w:val="left"/>
              <w:rPr/>
            </w:pPr>
            <w:r>
              <w:rPr/>
              <w:t> </w:t>
            </w:r>
          </w:p>
        </w:tc>
        <w:tc>
          <w:tcPr>
            <w:tcW w:w="823"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(1,348)</w:t>
            </w:r>
          </w:p>
        </w:tc>
      </w:tr>
      <w:tr>
        <w:trPr/>
        <w:tc>
          <w:tcPr>
            <w:tcW w:w="8015"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Accrued and other liabilities</w:t>
            </w:r>
          </w:p>
        </w:tc>
        <w:tc>
          <w:tcPr>
            <w:tcW w:w="237"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 </w:t>
            </w:r>
          </w:p>
        </w:tc>
        <w:tc>
          <w:tcPr>
            <w:tcW w:w="771"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944</w:t>
            </w:r>
          </w:p>
        </w:tc>
        <w:tc>
          <w:tcPr>
            <w:tcW w:w="122"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237"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 </w:t>
            </w:r>
          </w:p>
        </w:tc>
        <w:tc>
          <w:tcPr>
            <w:tcW w:w="823"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1,795</w:t>
            </w:r>
          </w:p>
        </w:tc>
      </w:tr>
      <w:tr>
        <w:trPr/>
        <w:tc>
          <w:tcPr>
            <w:tcW w:w="8015"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Net cash used in operating activities</w:t>
            </w:r>
          </w:p>
        </w:tc>
        <w:tc>
          <w:tcPr>
            <w:tcW w:w="237"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 </w:t>
            </w:r>
          </w:p>
        </w:tc>
        <w:tc>
          <w:tcPr>
            <w:tcW w:w="77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(8,020)</w:t>
            </w:r>
          </w:p>
        </w:tc>
        <w:tc>
          <w:tcPr>
            <w:tcW w:w="122"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237"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 </w:t>
            </w:r>
          </w:p>
        </w:tc>
        <w:tc>
          <w:tcPr>
            <w:tcW w:w="823"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(7,886)</w:t>
            </w:r>
          </w:p>
        </w:tc>
      </w:tr>
      <w:tr>
        <w:trPr/>
        <w:tc>
          <w:tcPr>
            <w:tcW w:w="8015"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Investing activities</w:t>
            </w:r>
          </w:p>
        </w:tc>
        <w:tc>
          <w:tcPr>
            <w:tcW w:w="237" w:type="dxa"/>
            <w:tcBorders/>
            <w:vAlign w:val="center"/>
          </w:tcPr>
          <w:p>
            <w:pPr>
              <w:pStyle w:val="TableContents"/>
              <w:bidi w:val="0"/>
              <w:spacing w:lineRule="auto" w:line="285" w:before="0" w:after="0"/>
              <w:ind w:left="0" w:right="0" w:hanging="0"/>
              <w:jc w:val="left"/>
              <w:rPr/>
            </w:pPr>
            <w:r>
              <w:rPr/>
              <w:t>​</w:t>
            </w:r>
          </w:p>
        </w:tc>
        <w:tc>
          <w:tcPr>
            <w:tcW w:w="771" w:type="dxa"/>
            <w:tcBorders/>
            <w:vAlign w:val="center"/>
          </w:tcPr>
          <w:p>
            <w:pPr>
              <w:pStyle w:val="TableContents"/>
              <w:bidi w:val="0"/>
              <w:spacing w:lineRule="auto" w:line="285" w:before="0" w:after="0"/>
              <w:ind w:left="0" w:right="0" w:hanging="0"/>
              <w:jc w:val="left"/>
              <w:rPr/>
            </w:pPr>
            <w:r>
              <w:rPr/>
              <w:t>​</w:t>
            </w:r>
          </w:p>
        </w:tc>
        <w:tc>
          <w:tcPr>
            <w:tcW w:w="122" w:type="dxa"/>
            <w:tcBorders/>
            <w:vAlign w:val="center"/>
          </w:tcPr>
          <w:p>
            <w:pPr>
              <w:pStyle w:val="TableContents"/>
              <w:bidi w:val="0"/>
              <w:spacing w:lineRule="auto" w:line="285" w:before="0" w:after="0"/>
              <w:ind w:left="0" w:right="0" w:hanging="0"/>
              <w:jc w:val="left"/>
              <w:rPr/>
            </w:pPr>
            <w:r>
              <w:rPr/>
              <w:t>​</w:t>
            </w:r>
          </w:p>
        </w:tc>
        <w:tc>
          <w:tcPr>
            <w:tcW w:w="237" w:type="dxa"/>
            <w:tcBorders/>
            <w:vAlign w:val="center"/>
          </w:tcPr>
          <w:p>
            <w:pPr>
              <w:pStyle w:val="TableContents"/>
              <w:bidi w:val="0"/>
              <w:spacing w:lineRule="auto" w:line="285" w:before="0" w:after="0"/>
              <w:ind w:left="0" w:right="0" w:hanging="0"/>
              <w:jc w:val="left"/>
              <w:rPr/>
            </w:pPr>
            <w:r>
              <w:rPr/>
              <w:t>​</w:t>
            </w:r>
          </w:p>
        </w:tc>
        <w:tc>
          <w:tcPr>
            <w:tcW w:w="823" w:type="dxa"/>
            <w:tcBorders/>
            <w:vAlign w:val="center"/>
          </w:tcPr>
          <w:p>
            <w:pPr>
              <w:pStyle w:val="TableContents"/>
              <w:bidi w:val="0"/>
              <w:spacing w:lineRule="auto" w:line="285" w:before="0" w:after="0"/>
              <w:ind w:left="0" w:right="0" w:hanging="0"/>
              <w:jc w:val="left"/>
              <w:rPr/>
            </w:pPr>
            <w:r>
              <w:rPr/>
              <w:t>​</w:t>
            </w:r>
          </w:p>
        </w:tc>
      </w:tr>
      <w:tr>
        <w:trPr/>
        <w:tc>
          <w:tcPr>
            <w:tcW w:w="8015"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Purchases of property and equipment</w:t>
            </w:r>
          </w:p>
        </w:tc>
        <w:tc>
          <w:tcPr>
            <w:tcW w:w="237"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 </w:t>
            </w:r>
          </w:p>
        </w:tc>
        <w:tc>
          <w:tcPr>
            <w:tcW w:w="77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pPr>
            <w:r>
              <w:rPr/>
              <w:t>—</w:t>
            </w:r>
          </w:p>
        </w:tc>
        <w:tc>
          <w:tcPr>
            <w:tcW w:w="122"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237"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 </w:t>
            </w:r>
          </w:p>
        </w:tc>
        <w:tc>
          <w:tcPr>
            <w:tcW w:w="823"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w:t>
            </w:r>
          </w:p>
        </w:tc>
      </w:tr>
      <w:tr>
        <w:trPr/>
        <w:tc>
          <w:tcPr>
            <w:tcW w:w="8015"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Net cash used in investing activities</w:t>
            </w:r>
          </w:p>
        </w:tc>
        <w:tc>
          <w:tcPr>
            <w:tcW w:w="237"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 </w:t>
            </w:r>
          </w:p>
        </w:tc>
        <w:tc>
          <w:tcPr>
            <w:tcW w:w="771"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pPr>
            <w:r>
              <w:rPr/>
              <w:t>—</w:t>
            </w:r>
          </w:p>
        </w:tc>
        <w:tc>
          <w:tcPr>
            <w:tcW w:w="122"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237"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 </w:t>
            </w:r>
          </w:p>
        </w:tc>
        <w:tc>
          <w:tcPr>
            <w:tcW w:w="823"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w:t>
            </w:r>
          </w:p>
        </w:tc>
      </w:tr>
      <w:tr>
        <w:trPr/>
        <w:tc>
          <w:tcPr>
            <w:tcW w:w="8015"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Financing activities</w:t>
            </w:r>
          </w:p>
        </w:tc>
        <w:tc>
          <w:tcPr>
            <w:tcW w:w="237" w:type="dxa"/>
            <w:tcBorders/>
            <w:shd w:fill="CCEEFF" w:val="clear"/>
            <w:vAlign w:val="center"/>
          </w:tcPr>
          <w:p>
            <w:pPr>
              <w:pStyle w:val="TableContents"/>
              <w:bidi w:val="0"/>
              <w:spacing w:lineRule="auto" w:line="285" w:before="0" w:after="0"/>
              <w:ind w:left="0" w:right="0" w:hanging="0"/>
              <w:jc w:val="left"/>
              <w:rPr/>
            </w:pPr>
            <w:r>
              <w:rPr/>
              <w:t>​</w:t>
            </w:r>
          </w:p>
        </w:tc>
        <w:tc>
          <w:tcPr>
            <w:tcW w:w="771" w:type="dxa"/>
            <w:tcBorders/>
            <w:shd w:fill="CCEEFF" w:val="clear"/>
            <w:vAlign w:val="center"/>
          </w:tcPr>
          <w:p>
            <w:pPr>
              <w:pStyle w:val="TableContents"/>
              <w:bidi w:val="0"/>
              <w:spacing w:lineRule="auto" w:line="285" w:before="0" w:after="0"/>
              <w:ind w:left="0" w:right="0" w:hanging="0"/>
              <w:jc w:val="left"/>
              <w:rPr/>
            </w:pPr>
            <w:r>
              <w:rPr/>
              <w:t>​</w:t>
            </w:r>
          </w:p>
        </w:tc>
        <w:tc>
          <w:tcPr>
            <w:tcW w:w="122" w:type="dxa"/>
            <w:tcBorders/>
            <w:shd w:fill="CCEEFF" w:val="clear"/>
            <w:vAlign w:val="center"/>
          </w:tcPr>
          <w:p>
            <w:pPr>
              <w:pStyle w:val="TableContents"/>
              <w:bidi w:val="0"/>
              <w:spacing w:lineRule="auto" w:line="285" w:before="0" w:after="0"/>
              <w:ind w:left="0" w:right="0" w:hanging="0"/>
              <w:jc w:val="left"/>
              <w:rPr/>
            </w:pPr>
            <w:r>
              <w:rPr/>
              <w:t>​</w:t>
            </w:r>
          </w:p>
        </w:tc>
        <w:tc>
          <w:tcPr>
            <w:tcW w:w="237" w:type="dxa"/>
            <w:tcBorders/>
            <w:shd w:fill="CCEEFF" w:val="clear"/>
            <w:vAlign w:val="center"/>
          </w:tcPr>
          <w:p>
            <w:pPr>
              <w:pStyle w:val="TableContents"/>
              <w:bidi w:val="0"/>
              <w:spacing w:lineRule="auto" w:line="285" w:before="0" w:after="0"/>
              <w:ind w:left="0" w:right="0" w:hanging="0"/>
              <w:jc w:val="left"/>
              <w:rPr/>
            </w:pPr>
            <w:r>
              <w:rPr/>
              <w:t>​</w:t>
            </w:r>
          </w:p>
        </w:tc>
        <w:tc>
          <w:tcPr>
            <w:tcW w:w="823" w:type="dxa"/>
            <w:tcBorders/>
            <w:shd w:fill="CCEEFF" w:val="clear"/>
            <w:vAlign w:val="center"/>
          </w:tcPr>
          <w:p>
            <w:pPr>
              <w:pStyle w:val="TableContents"/>
              <w:bidi w:val="0"/>
              <w:spacing w:lineRule="auto" w:line="285" w:before="0" w:after="0"/>
              <w:ind w:left="0" w:right="0" w:hanging="0"/>
              <w:jc w:val="left"/>
              <w:rPr/>
            </w:pPr>
            <w:r>
              <w:rPr/>
              <w:t>​</w:t>
            </w:r>
          </w:p>
        </w:tc>
      </w:tr>
      <w:tr>
        <w:trPr/>
        <w:tc>
          <w:tcPr>
            <w:tcW w:w="8015"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Proceeds from the issuance of common stock and warrants under an underwritten public offering</w:t>
            </w:r>
          </w:p>
        </w:tc>
        <w:tc>
          <w:tcPr>
            <w:tcW w:w="237" w:type="dxa"/>
            <w:tcBorders/>
            <w:vAlign w:val="center"/>
          </w:tcPr>
          <w:p>
            <w:pPr>
              <w:pStyle w:val="TableContents"/>
              <w:bidi w:val="0"/>
              <w:spacing w:lineRule="auto" w:line="285" w:before="0" w:after="0"/>
              <w:ind w:left="0" w:right="0" w:hanging="0"/>
              <w:jc w:val="left"/>
              <w:rPr/>
            </w:pPr>
            <w:r>
              <w:rPr/>
              <w:t>​</w:t>
            </w:r>
          </w:p>
        </w:tc>
        <w:tc>
          <w:tcPr>
            <w:tcW w:w="771"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9,316</w:t>
            </w:r>
          </w:p>
        </w:tc>
        <w:tc>
          <w:tcPr>
            <w:tcW w:w="122" w:type="dxa"/>
            <w:tcBorders/>
            <w:vAlign w:val="center"/>
          </w:tcPr>
          <w:p>
            <w:pPr>
              <w:pStyle w:val="TableContents"/>
              <w:bidi w:val="0"/>
              <w:spacing w:lineRule="auto" w:line="285" w:before="0" w:after="0"/>
              <w:ind w:left="0" w:right="0" w:hanging="0"/>
              <w:jc w:val="left"/>
              <w:rPr/>
            </w:pPr>
            <w:r>
              <w:rPr/>
              <w:t>​</w:t>
            </w:r>
          </w:p>
        </w:tc>
        <w:tc>
          <w:tcPr>
            <w:tcW w:w="237" w:type="dxa"/>
            <w:tcBorders/>
            <w:vAlign w:val="center"/>
          </w:tcPr>
          <w:p>
            <w:pPr>
              <w:pStyle w:val="TableContents"/>
              <w:bidi w:val="0"/>
              <w:spacing w:lineRule="auto" w:line="285" w:before="0" w:after="0"/>
              <w:ind w:left="0" w:right="0" w:hanging="0"/>
              <w:jc w:val="left"/>
              <w:rPr/>
            </w:pPr>
            <w:r>
              <w:rPr/>
              <w:t>​</w:t>
            </w:r>
          </w:p>
        </w:tc>
        <w:tc>
          <w:tcPr>
            <w:tcW w:w="823" w:type="dxa"/>
            <w:tcBorders/>
            <w:vAlign w:val="center"/>
          </w:tcPr>
          <w:p>
            <w:pPr>
              <w:pStyle w:val="TableContents"/>
              <w:bidi w:val="0"/>
              <w:spacing w:lineRule="auto" w:line="285" w:before="0" w:after="0"/>
              <w:ind w:left="0" w:right="0" w:hanging="0"/>
              <w:jc w:val="right"/>
              <w:rPr/>
            </w:pPr>
            <w:r>
              <w:rPr/>
              <w:t>—</w:t>
            </w:r>
          </w:p>
        </w:tc>
      </w:tr>
      <w:tr>
        <w:trPr/>
        <w:tc>
          <w:tcPr>
            <w:tcW w:w="8015"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Payment of issuance costs in connection with the sale of common stock and warrants under an underwritten public offering</w:t>
            </w:r>
          </w:p>
        </w:tc>
        <w:tc>
          <w:tcPr>
            <w:tcW w:w="237" w:type="dxa"/>
            <w:tcBorders/>
            <w:shd w:fill="CCEEFF" w:val="clear"/>
            <w:vAlign w:val="center"/>
          </w:tcPr>
          <w:p>
            <w:pPr>
              <w:pStyle w:val="TableContents"/>
              <w:bidi w:val="0"/>
              <w:spacing w:lineRule="auto" w:line="285" w:before="0" w:after="0"/>
              <w:ind w:left="0" w:right="0" w:hanging="0"/>
              <w:jc w:val="left"/>
              <w:rPr/>
            </w:pPr>
            <w:r>
              <w:rPr/>
              <w:t>​</w:t>
            </w:r>
          </w:p>
        </w:tc>
        <w:tc>
          <w:tcPr>
            <w:tcW w:w="77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(2,179)</w:t>
            </w:r>
          </w:p>
        </w:tc>
        <w:tc>
          <w:tcPr>
            <w:tcW w:w="122" w:type="dxa"/>
            <w:tcBorders/>
            <w:shd w:fill="CCEEFF" w:val="clear"/>
            <w:vAlign w:val="center"/>
          </w:tcPr>
          <w:p>
            <w:pPr>
              <w:pStyle w:val="TableContents"/>
              <w:bidi w:val="0"/>
              <w:spacing w:lineRule="auto" w:line="285" w:before="0" w:after="0"/>
              <w:ind w:left="0" w:right="0" w:hanging="0"/>
              <w:jc w:val="left"/>
              <w:rPr/>
            </w:pPr>
            <w:r>
              <w:rPr/>
              <w:t>​</w:t>
            </w:r>
          </w:p>
        </w:tc>
        <w:tc>
          <w:tcPr>
            <w:tcW w:w="237" w:type="dxa"/>
            <w:tcBorders/>
            <w:shd w:fill="CCEEFF" w:val="clear"/>
            <w:vAlign w:val="center"/>
          </w:tcPr>
          <w:p>
            <w:pPr>
              <w:pStyle w:val="TableContents"/>
              <w:bidi w:val="0"/>
              <w:spacing w:lineRule="auto" w:line="285" w:before="0" w:after="0"/>
              <w:ind w:left="0" w:right="0" w:hanging="0"/>
              <w:jc w:val="left"/>
              <w:rPr/>
            </w:pPr>
            <w:r>
              <w:rPr/>
              <w:t>​</w:t>
            </w:r>
          </w:p>
        </w:tc>
        <w:tc>
          <w:tcPr>
            <w:tcW w:w="823" w:type="dxa"/>
            <w:tcBorders/>
            <w:shd w:fill="CCEEFF" w:val="clear"/>
            <w:vAlign w:val="center"/>
          </w:tcPr>
          <w:p>
            <w:pPr>
              <w:pStyle w:val="TableContents"/>
              <w:bidi w:val="0"/>
              <w:spacing w:lineRule="auto" w:line="285" w:before="0" w:after="0"/>
              <w:ind w:left="0" w:right="0" w:hanging="0"/>
              <w:jc w:val="right"/>
              <w:rPr/>
            </w:pPr>
            <w:r>
              <w:rPr/>
              <w:t>—</w:t>
            </w:r>
          </w:p>
        </w:tc>
      </w:tr>
      <w:tr>
        <w:trPr/>
        <w:tc>
          <w:tcPr>
            <w:tcW w:w="8015"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Proceeds from the issuance of common stock under an at the market offering agreement</w:t>
            </w:r>
          </w:p>
        </w:tc>
        <w:tc>
          <w:tcPr>
            <w:tcW w:w="237" w:type="dxa"/>
            <w:tcBorders/>
            <w:vAlign w:val="center"/>
          </w:tcPr>
          <w:p>
            <w:pPr>
              <w:pStyle w:val="TableContents"/>
              <w:bidi w:val="0"/>
              <w:spacing w:lineRule="auto" w:line="285" w:before="0" w:after="0"/>
              <w:ind w:left="0" w:right="0" w:hanging="0"/>
              <w:jc w:val="left"/>
              <w:rPr/>
            </w:pPr>
            <w:r>
              <w:rPr/>
              <w:t>​</w:t>
            </w:r>
          </w:p>
        </w:tc>
        <w:tc>
          <w:tcPr>
            <w:tcW w:w="771"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913</w:t>
            </w:r>
          </w:p>
        </w:tc>
        <w:tc>
          <w:tcPr>
            <w:tcW w:w="122" w:type="dxa"/>
            <w:tcBorders/>
            <w:vAlign w:val="center"/>
          </w:tcPr>
          <w:p>
            <w:pPr>
              <w:pStyle w:val="TableContents"/>
              <w:bidi w:val="0"/>
              <w:spacing w:lineRule="auto" w:line="285" w:before="0" w:after="0"/>
              <w:ind w:left="0" w:right="0" w:hanging="0"/>
              <w:jc w:val="left"/>
              <w:rPr/>
            </w:pPr>
            <w:r>
              <w:rPr/>
              <w:t>​</w:t>
            </w:r>
          </w:p>
        </w:tc>
        <w:tc>
          <w:tcPr>
            <w:tcW w:w="237" w:type="dxa"/>
            <w:tcBorders/>
            <w:vAlign w:val="center"/>
          </w:tcPr>
          <w:p>
            <w:pPr>
              <w:pStyle w:val="TableContents"/>
              <w:bidi w:val="0"/>
              <w:spacing w:lineRule="auto" w:line="285" w:before="0" w:after="0"/>
              <w:ind w:left="0" w:right="0" w:hanging="0"/>
              <w:jc w:val="left"/>
              <w:rPr/>
            </w:pPr>
            <w:r>
              <w:rPr/>
              <w:t>​</w:t>
            </w:r>
          </w:p>
        </w:tc>
        <w:tc>
          <w:tcPr>
            <w:tcW w:w="823" w:type="dxa"/>
            <w:tcBorders/>
            <w:vAlign w:val="center"/>
          </w:tcPr>
          <w:p>
            <w:pPr>
              <w:pStyle w:val="TableContents"/>
              <w:bidi w:val="0"/>
              <w:spacing w:lineRule="auto" w:line="285" w:before="0" w:after="0"/>
              <w:ind w:left="0" w:right="0" w:hanging="0"/>
              <w:jc w:val="right"/>
              <w:rPr/>
            </w:pPr>
            <w:r>
              <w:rPr/>
              <w:t>—</w:t>
            </w:r>
          </w:p>
        </w:tc>
      </w:tr>
      <w:tr>
        <w:trPr/>
        <w:tc>
          <w:tcPr>
            <w:tcW w:w="8015"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Payment of issuance costs in connection with the sale of common stock under an at the market offering agreement</w:t>
            </w:r>
          </w:p>
        </w:tc>
        <w:tc>
          <w:tcPr>
            <w:tcW w:w="237" w:type="dxa"/>
            <w:tcBorders/>
            <w:shd w:fill="CCEEFF" w:val="clear"/>
            <w:vAlign w:val="center"/>
          </w:tcPr>
          <w:p>
            <w:pPr>
              <w:pStyle w:val="TableContents"/>
              <w:bidi w:val="0"/>
              <w:spacing w:lineRule="auto" w:line="285" w:before="0" w:after="0"/>
              <w:ind w:left="0" w:right="0" w:hanging="0"/>
              <w:jc w:val="left"/>
              <w:rPr/>
            </w:pPr>
            <w:r>
              <w:rPr/>
              <w:t>​</w:t>
            </w:r>
          </w:p>
        </w:tc>
        <w:tc>
          <w:tcPr>
            <w:tcW w:w="77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(94)</w:t>
            </w:r>
          </w:p>
        </w:tc>
        <w:tc>
          <w:tcPr>
            <w:tcW w:w="122" w:type="dxa"/>
            <w:tcBorders/>
            <w:shd w:fill="CCEEFF" w:val="clear"/>
            <w:vAlign w:val="center"/>
          </w:tcPr>
          <w:p>
            <w:pPr>
              <w:pStyle w:val="TableContents"/>
              <w:bidi w:val="0"/>
              <w:spacing w:lineRule="auto" w:line="285" w:before="0" w:after="0"/>
              <w:ind w:left="0" w:right="0" w:hanging="0"/>
              <w:jc w:val="left"/>
              <w:rPr/>
            </w:pPr>
            <w:r>
              <w:rPr/>
              <w:t>​</w:t>
            </w:r>
          </w:p>
        </w:tc>
        <w:tc>
          <w:tcPr>
            <w:tcW w:w="237" w:type="dxa"/>
            <w:tcBorders/>
            <w:shd w:fill="CCEEFF" w:val="clear"/>
            <w:vAlign w:val="center"/>
          </w:tcPr>
          <w:p>
            <w:pPr>
              <w:pStyle w:val="TableContents"/>
              <w:bidi w:val="0"/>
              <w:spacing w:lineRule="auto" w:line="285" w:before="0" w:after="0"/>
              <w:ind w:left="0" w:right="0" w:hanging="0"/>
              <w:jc w:val="left"/>
              <w:rPr/>
            </w:pPr>
            <w:r>
              <w:rPr/>
              <w:t>​</w:t>
            </w:r>
          </w:p>
        </w:tc>
        <w:tc>
          <w:tcPr>
            <w:tcW w:w="823" w:type="dxa"/>
            <w:tcBorders/>
            <w:shd w:fill="CCEEFF" w:val="clear"/>
            <w:vAlign w:val="center"/>
          </w:tcPr>
          <w:p>
            <w:pPr>
              <w:pStyle w:val="TableContents"/>
              <w:bidi w:val="0"/>
              <w:spacing w:lineRule="auto" w:line="285" w:before="0" w:after="0"/>
              <w:ind w:left="0" w:right="0" w:hanging="0"/>
              <w:jc w:val="right"/>
              <w:rPr/>
            </w:pPr>
            <w:r>
              <w:rPr/>
              <w:t>—</w:t>
            </w:r>
          </w:p>
        </w:tc>
      </w:tr>
      <w:tr>
        <w:trPr/>
        <w:tc>
          <w:tcPr>
            <w:tcW w:w="8015"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Proceeds from the issuance of common stock and warrants under the securities purchase agreements from a private placement offering</w:t>
            </w:r>
          </w:p>
        </w:tc>
        <w:tc>
          <w:tcPr>
            <w:tcW w:w="237" w:type="dxa"/>
            <w:tcBorders/>
            <w:vAlign w:val="center"/>
          </w:tcPr>
          <w:p>
            <w:pPr>
              <w:pStyle w:val="TableContents"/>
              <w:bidi w:val="0"/>
              <w:spacing w:lineRule="auto" w:line="285" w:before="0" w:after="0"/>
              <w:ind w:left="0" w:right="0" w:hanging="0"/>
              <w:jc w:val="left"/>
              <w:rPr/>
            </w:pPr>
            <w:r>
              <w:rPr/>
              <w:t>​</w:t>
            </w:r>
          </w:p>
        </w:tc>
        <w:tc>
          <w:tcPr>
            <w:tcW w:w="771" w:type="dxa"/>
            <w:tcBorders/>
            <w:vAlign w:val="center"/>
          </w:tcPr>
          <w:p>
            <w:pPr>
              <w:pStyle w:val="TableContents"/>
              <w:bidi w:val="0"/>
              <w:spacing w:lineRule="auto" w:line="285" w:before="0" w:after="0"/>
              <w:ind w:left="0" w:right="0" w:hanging="0"/>
              <w:jc w:val="right"/>
              <w:rPr/>
            </w:pPr>
            <w:r>
              <w:rPr/>
              <w:t>—</w:t>
            </w:r>
          </w:p>
        </w:tc>
        <w:tc>
          <w:tcPr>
            <w:tcW w:w="122" w:type="dxa"/>
            <w:tcBorders/>
            <w:vAlign w:val="center"/>
          </w:tcPr>
          <w:p>
            <w:pPr>
              <w:pStyle w:val="TableContents"/>
              <w:bidi w:val="0"/>
              <w:spacing w:lineRule="auto" w:line="285" w:before="0" w:after="0"/>
              <w:ind w:left="0" w:right="0" w:hanging="0"/>
              <w:jc w:val="left"/>
              <w:rPr/>
            </w:pPr>
            <w:r>
              <w:rPr/>
              <w:t>​</w:t>
            </w:r>
          </w:p>
        </w:tc>
        <w:tc>
          <w:tcPr>
            <w:tcW w:w="237" w:type="dxa"/>
            <w:tcBorders/>
            <w:vAlign w:val="center"/>
          </w:tcPr>
          <w:p>
            <w:pPr>
              <w:pStyle w:val="TableContents"/>
              <w:bidi w:val="0"/>
              <w:spacing w:lineRule="auto" w:line="285" w:before="0" w:after="0"/>
              <w:ind w:left="0" w:right="0" w:hanging="0"/>
              <w:jc w:val="left"/>
              <w:rPr/>
            </w:pPr>
            <w:r>
              <w:rPr/>
              <w:t>​</w:t>
            </w:r>
          </w:p>
        </w:tc>
        <w:tc>
          <w:tcPr>
            <w:tcW w:w="823"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9,996</w:t>
            </w:r>
          </w:p>
        </w:tc>
      </w:tr>
      <w:tr>
        <w:trPr/>
        <w:tc>
          <w:tcPr>
            <w:tcW w:w="8015"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Payment of issuance costs in connection with the sale of common stock and warrants under the securities purchase agreements from a private placement offering</w:t>
            </w:r>
          </w:p>
        </w:tc>
        <w:tc>
          <w:tcPr>
            <w:tcW w:w="237" w:type="dxa"/>
            <w:tcBorders/>
            <w:shd w:fill="CCEEFF" w:val="clear"/>
            <w:vAlign w:val="center"/>
          </w:tcPr>
          <w:p>
            <w:pPr>
              <w:pStyle w:val="TableContents"/>
              <w:bidi w:val="0"/>
              <w:spacing w:lineRule="auto" w:line="285" w:before="0" w:after="0"/>
              <w:ind w:left="0" w:right="0" w:hanging="0"/>
              <w:jc w:val="left"/>
              <w:rPr/>
            </w:pPr>
            <w:r>
              <w:rPr/>
              <w:t>​</w:t>
            </w:r>
          </w:p>
        </w:tc>
        <w:tc>
          <w:tcPr>
            <w:tcW w:w="771" w:type="dxa"/>
            <w:tcBorders/>
            <w:shd w:fill="CCEEFF" w:val="clear"/>
            <w:vAlign w:val="center"/>
          </w:tcPr>
          <w:p>
            <w:pPr>
              <w:pStyle w:val="TableContents"/>
              <w:bidi w:val="0"/>
              <w:spacing w:lineRule="auto" w:line="285" w:before="0" w:after="0"/>
              <w:ind w:left="0" w:right="0" w:hanging="0"/>
              <w:jc w:val="right"/>
              <w:rPr/>
            </w:pPr>
            <w:r>
              <w:rPr/>
              <w:t>—</w:t>
            </w:r>
          </w:p>
        </w:tc>
        <w:tc>
          <w:tcPr>
            <w:tcW w:w="122" w:type="dxa"/>
            <w:tcBorders/>
            <w:shd w:fill="CCEEFF" w:val="clear"/>
            <w:vAlign w:val="center"/>
          </w:tcPr>
          <w:p>
            <w:pPr>
              <w:pStyle w:val="TableContents"/>
              <w:bidi w:val="0"/>
              <w:spacing w:lineRule="auto" w:line="285" w:before="0" w:after="0"/>
              <w:ind w:left="0" w:right="0" w:hanging="0"/>
              <w:jc w:val="left"/>
              <w:rPr/>
            </w:pPr>
            <w:r>
              <w:rPr/>
              <w:t>​</w:t>
            </w:r>
          </w:p>
        </w:tc>
        <w:tc>
          <w:tcPr>
            <w:tcW w:w="237" w:type="dxa"/>
            <w:tcBorders/>
            <w:shd w:fill="CCEEFF" w:val="clear"/>
            <w:vAlign w:val="center"/>
          </w:tcPr>
          <w:p>
            <w:pPr>
              <w:pStyle w:val="TableContents"/>
              <w:bidi w:val="0"/>
              <w:spacing w:lineRule="auto" w:line="285" w:before="0" w:after="0"/>
              <w:ind w:left="0" w:right="0" w:hanging="0"/>
              <w:jc w:val="left"/>
              <w:rPr/>
            </w:pPr>
            <w:r>
              <w:rPr/>
              <w:t>​</w:t>
            </w:r>
          </w:p>
        </w:tc>
        <w:tc>
          <w:tcPr>
            <w:tcW w:w="823"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(530)</w:t>
            </w:r>
          </w:p>
        </w:tc>
      </w:tr>
      <w:tr>
        <w:trPr/>
        <w:tc>
          <w:tcPr>
            <w:tcW w:w="8015"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Proceeds from exercise of warrants</w:t>
            </w:r>
          </w:p>
        </w:tc>
        <w:tc>
          <w:tcPr>
            <w:tcW w:w="237" w:type="dxa"/>
            <w:tcBorders/>
            <w:vAlign w:val="center"/>
          </w:tcPr>
          <w:p>
            <w:pPr>
              <w:pStyle w:val="TableContents"/>
              <w:bidi w:val="0"/>
              <w:spacing w:lineRule="auto" w:line="285" w:before="0" w:after="0"/>
              <w:ind w:left="0" w:right="0" w:hanging="0"/>
              <w:jc w:val="left"/>
              <w:rPr/>
            </w:pPr>
            <w:r>
              <w:rPr/>
              <w:t>​</w:t>
            </w:r>
          </w:p>
        </w:tc>
        <w:tc>
          <w:tcPr>
            <w:tcW w:w="771"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2,420</w:t>
            </w:r>
          </w:p>
        </w:tc>
        <w:tc>
          <w:tcPr>
            <w:tcW w:w="122" w:type="dxa"/>
            <w:tcBorders/>
            <w:vAlign w:val="center"/>
          </w:tcPr>
          <w:p>
            <w:pPr>
              <w:pStyle w:val="TableContents"/>
              <w:bidi w:val="0"/>
              <w:spacing w:lineRule="auto" w:line="285" w:before="0" w:after="0"/>
              <w:ind w:left="0" w:right="0" w:hanging="0"/>
              <w:jc w:val="left"/>
              <w:rPr/>
            </w:pPr>
            <w:r>
              <w:rPr/>
              <w:t>​</w:t>
            </w:r>
          </w:p>
        </w:tc>
        <w:tc>
          <w:tcPr>
            <w:tcW w:w="237" w:type="dxa"/>
            <w:tcBorders/>
            <w:vAlign w:val="center"/>
          </w:tcPr>
          <w:p>
            <w:pPr>
              <w:pStyle w:val="TableContents"/>
              <w:bidi w:val="0"/>
              <w:spacing w:lineRule="auto" w:line="285" w:before="0" w:after="0"/>
              <w:ind w:left="0" w:right="0" w:hanging="0"/>
              <w:jc w:val="left"/>
              <w:rPr/>
            </w:pPr>
            <w:r>
              <w:rPr/>
              <w:t>​</w:t>
            </w:r>
          </w:p>
        </w:tc>
        <w:tc>
          <w:tcPr>
            <w:tcW w:w="823"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6</w:t>
            </w:r>
          </w:p>
        </w:tc>
      </w:tr>
      <w:tr>
        <w:trPr/>
        <w:tc>
          <w:tcPr>
            <w:tcW w:w="8015"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Payment of employee withholding taxes related to shares withheld from vested restricted stock units</w:t>
            </w:r>
          </w:p>
        </w:tc>
        <w:tc>
          <w:tcPr>
            <w:tcW w:w="237"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77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pPr>
            <w:r>
              <w:rPr/>
              <w:t>—</w:t>
            </w:r>
          </w:p>
        </w:tc>
        <w:tc>
          <w:tcPr>
            <w:tcW w:w="122"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237"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823"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(12)</w:t>
            </w:r>
          </w:p>
        </w:tc>
      </w:tr>
      <w:tr>
        <w:trPr/>
        <w:tc>
          <w:tcPr>
            <w:tcW w:w="8015"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Net cash provided by financing activities</w:t>
            </w:r>
          </w:p>
        </w:tc>
        <w:tc>
          <w:tcPr>
            <w:tcW w:w="237"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 </w:t>
            </w:r>
          </w:p>
        </w:tc>
        <w:tc>
          <w:tcPr>
            <w:tcW w:w="771"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10,376</w:t>
            </w:r>
          </w:p>
        </w:tc>
        <w:tc>
          <w:tcPr>
            <w:tcW w:w="122"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237"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 </w:t>
            </w:r>
          </w:p>
        </w:tc>
        <w:tc>
          <w:tcPr>
            <w:tcW w:w="823"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9,460</w:t>
            </w:r>
          </w:p>
        </w:tc>
      </w:tr>
      <w:tr>
        <w:trPr/>
        <w:tc>
          <w:tcPr>
            <w:tcW w:w="8015"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Net increase in cash and cash equivalents</w:t>
            </w:r>
          </w:p>
        </w:tc>
        <w:tc>
          <w:tcPr>
            <w:tcW w:w="237" w:type="dxa"/>
            <w:tcBorders/>
            <w:shd w:fill="CCEEFF" w:val="clear"/>
            <w:vAlign w:val="center"/>
          </w:tcPr>
          <w:p>
            <w:pPr>
              <w:pStyle w:val="TableContents"/>
              <w:bidi w:val="0"/>
              <w:spacing w:lineRule="auto" w:line="285" w:before="0" w:after="0"/>
              <w:ind w:left="0" w:right="0" w:hanging="0"/>
              <w:jc w:val="left"/>
              <w:rPr/>
            </w:pPr>
            <w:r>
              <w:rPr/>
              <w:t> </w:t>
            </w:r>
          </w:p>
        </w:tc>
        <w:tc>
          <w:tcPr>
            <w:tcW w:w="77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2,356</w:t>
            </w:r>
          </w:p>
        </w:tc>
        <w:tc>
          <w:tcPr>
            <w:tcW w:w="122" w:type="dxa"/>
            <w:tcBorders/>
            <w:shd w:fill="CCEEFF" w:val="clear"/>
            <w:vAlign w:val="center"/>
          </w:tcPr>
          <w:p>
            <w:pPr>
              <w:pStyle w:val="TableContents"/>
              <w:bidi w:val="0"/>
              <w:spacing w:lineRule="auto" w:line="285" w:before="0" w:after="0"/>
              <w:ind w:left="0" w:right="0" w:hanging="0"/>
              <w:jc w:val="left"/>
              <w:rPr/>
            </w:pPr>
            <w:r>
              <w:rPr/>
              <w:t>​</w:t>
            </w:r>
          </w:p>
        </w:tc>
        <w:tc>
          <w:tcPr>
            <w:tcW w:w="237" w:type="dxa"/>
            <w:tcBorders/>
            <w:shd w:fill="CCEEFF" w:val="clear"/>
            <w:vAlign w:val="center"/>
          </w:tcPr>
          <w:p>
            <w:pPr>
              <w:pStyle w:val="TableContents"/>
              <w:bidi w:val="0"/>
              <w:spacing w:lineRule="auto" w:line="285" w:before="0" w:after="0"/>
              <w:ind w:left="0" w:right="0" w:hanging="0"/>
              <w:jc w:val="left"/>
              <w:rPr/>
            </w:pPr>
            <w:r>
              <w:rPr/>
              <w:t> </w:t>
            </w:r>
          </w:p>
        </w:tc>
        <w:tc>
          <w:tcPr>
            <w:tcW w:w="823"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1,572</w:t>
            </w:r>
          </w:p>
        </w:tc>
      </w:tr>
      <w:tr>
        <w:trPr/>
        <w:tc>
          <w:tcPr>
            <w:tcW w:w="8015"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Cash and cash equivalents at beginning of period</w:t>
            </w:r>
          </w:p>
        </w:tc>
        <w:tc>
          <w:tcPr>
            <w:tcW w:w="237"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 </w:t>
            </w:r>
          </w:p>
        </w:tc>
        <w:tc>
          <w:tcPr>
            <w:tcW w:w="771"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10,278</w:t>
            </w:r>
          </w:p>
        </w:tc>
        <w:tc>
          <w:tcPr>
            <w:tcW w:w="122"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237"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 </w:t>
            </w:r>
          </w:p>
        </w:tc>
        <w:tc>
          <w:tcPr>
            <w:tcW w:w="823"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16,017</w:t>
            </w:r>
          </w:p>
        </w:tc>
      </w:tr>
      <w:tr>
        <w:trPr/>
        <w:tc>
          <w:tcPr>
            <w:tcW w:w="8015"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Cash and cash equivalents at end of period</w:t>
            </w:r>
          </w:p>
        </w:tc>
        <w:tc>
          <w:tcPr>
            <w:tcW w:w="237"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71"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12,634</w:t>
            </w:r>
          </w:p>
        </w:tc>
        <w:tc>
          <w:tcPr>
            <w:tcW w:w="122"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237"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3"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17,589</w:t>
            </w:r>
          </w:p>
        </w:tc>
      </w:tr>
      <w:tr>
        <w:trPr/>
        <w:tc>
          <w:tcPr>
            <w:tcW w:w="8015" w:type="dxa"/>
            <w:tcBorders/>
            <w:vAlign w:val="center"/>
          </w:tcPr>
          <w:p>
            <w:pPr>
              <w:pStyle w:val="TableContents"/>
              <w:bidi w:val="0"/>
              <w:spacing w:lineRule="auto" w:line="285" w:before="0" w:after="0"/>
              <w:ind w:left="0" w:right="0" w:hanging="0"/>
              <w:jc w:val="left"/>
              <w:rPr/>
            </w:pPr>
            <w:r>
              <w:rPr/>
              <w:t>​</w:t>
            </w:r>
          </w:p>
        </w:tc>
        <w:tc>
          <w:tcPr>
            <w:tcW w:w="237" w:type="dxa"/>
            <w:tcBorders/>
            <w:vAlign w:val="center"/>
          </w:tcPr>
          <w:p>
            <w:pPr>
              <w:pStyle w:val="TableContents"/>
              <w:bidi w:val="0"/>
              <w:spacing w:lineRule="auto" w:line="285" w:before="0" w:after="0"/>
              <w:ind w:left="0" w:right="0" w:hanging="0"/>
              <w:jc w:val="left"/>
              <w:rPr/>
            </w:pPr>
            <w:r>
              <w:rPr/>
              <w:t>​</w:t>
            </w:r>
          </w:p>
        </w:tc>
        <w:tc>
          <w:tcPr>
            <w:tcW w:w="771" w:type="dxa"/>
            <w:tcBorders/>
            <w:vAlign w:val="center"/>
          </w:tcPr>
          <w:p>
            <w:pPr>
              <w:pStyle w:val="TableContents"/>
              <w:bidi w:val="0"/>
              <w:spacing w:lineRule="auto" w:line="285" w:before="0" w:after="0"/>
              <w:ind w:left="0" w:right="0" w:hanging="0"/>
              <w:jc w:val="left"/>
              <w:rPr/>
            </w:pPr>
            <w:r>
              <w:rPr/>
              <w:t>​</w:t>
            </w:r>
          </w:p>
        </w:tc>
        <w:tc>
          <w:tcPr>
            <w:tcW w:w="122" w:type="dxa"/>
            <w:tcBorders/>
            <w:vAlign w:val="center"/>
          </w:tcPr>
          <w:p>
            <w:pPr>
              <w:pStyle w:val="TableContents"/>
              <w:bidi w:val="0"/>
              <w:spacing w:lineRule="auto" w:line="285" w:before="0" w:after="0"/>
              <w:ind w:left="0" w:right="0" w:hanging="0"/>
              <w:jc w:val="right"/>
              <w:rPr/>
            </w:pPr>
            <w:r>
              <w:rPr/>
              <w:t>​</w:t>
            </w:r>
          </w:p>
        </w:tc>
        <w:tc>
          <w:tcPr>
            <w:tcW w:w="237" w:type="dxa"/>
            <w:tcBorders/>
            <w:vAlign w:val="center"/>
          </w:tcPr>
          <w:p>
            <w:pPr>
              <w:pStyle w:val="TableContents"/>
              <w:bidi w:val="0"/>
              <w:spacing w:lineRule="auto" w:line="285" w:before="0" w:after="0"/>
              <w:ind w:left="0" w:right="0" w:hanging="0"/>
              <w:jc w:val="left"/>
              <w:rPr/>
            </w:pPr>
            <w:r>
              <w:rPr/>
              <w:t>​</w:t>
            </w:r>
          </w:p>
        </w:tc>
        <w:tc>
          <w:tcPr>
            <w:tcW w:w="823" w:type="dxa"/>
            <w:tcBorders/>
            <w:vAlign w:val="center"/>
          </w:tcPr>
          <w:p>
            <w:pPr>
              <w:pStyle w:val="TableContents"/>
              <w:bidi w:val="0"/>
              <w:spacing w:lineRule="auto" w:line="285" w:before="0" w:after="0"/>
              <w:ind w:left="0" w:right="0" w:hanging="0"/>
              <w:jc w:val="left"/>
              <w:rPr/>
            </w:pPr>
            <w:r>
              <w:rPr/>
              <w:t>​</w:t>
            </w:r>
          </w:p>
        </w:tc>
      </w:tr>
      <w:tr>
        <w:trPr/>
        <w:tc>
          <w:tcPr>
            <w:tcW w:w="8015"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color w:val="212529"/>
                <w:sz w:val="20"/>
              </w:rPr>
            </w:pPr>
            <w:r>
              <w:rPr>
                <w:rFonts w:ascii="Times New Roman;Times;serif" w:hAnsi="Times New Roman;Times;serif"/>
                <w:color w:val="212529"/>
                <w:sz w:val="20"/>
              </w:rPr>
              <w:t>Supplemental non-cash investing and financing transactions</w:t>
            </w:r>
          </w:p>
        </w:tc>
        <w:tc>
          <w:tcPr>
            <w:tcW w:w="237" w:type="dxa"/>
            <w:tcBorders/>
            <w:shd w:fill="CCEEFF" w:val="clear"/>
            <w:vAlign w:val="center"/>
          </w:tcPr>
          <w:p>
            <w:pPr>
              <w:pStyle w:val="TableContents"/>
              <w:bidi w:val="0"/>
              <w:spacing w:lineRule="auto" w:line="285" w:before="0" w:after="0"/>
              <w:ind w:left="0" w:right="0" w:hanging="0"/>
              <w:jc w:val="left"/>
              <w:rPr>
                <w:color w:val="212529"/>
              </w:rPr>
            </w:pPr>
            <w:r>
              <w:rPr>
                <w:color w:val="212529"/>
              </w:rPr>
              <w:t>​</w:t>
            </w:r>
          </w:p>
        </w:tc>
        <w:tc>
          <w:tcPr>
            <w:tcW w:w="771" w:type="dxa"/>
            <w:tcBorders/>
            <w:shd w:fill="CCEEFF" w:val="clear"/>
            <w:vAlign w:val="center"/>
          </w:tcPr>
          <w:p>
            <w:pPr>
              <w:pStyle w:val="TableContents"/>
              <w:bidi w:val="0"/>
              <w:spacing w:lineRule="auto" w:line="285" w:before="0" w:after="0"/>
              <w:ind w:left="0" w:right="0" w:hanging="0"/>
              <w:jc w:val="left"/>
              <w:rPr>
                <w:color w:val="212529"/>
              </w:rPr>
            </w:pPr>
            <w:r>
              <w:rPr>
                <w:color w:val="212529"/>
              </w:rPr>
              <w:t>​</w:t>
            </w:r>
          </w:p>
        </w:tc>
        <w:tc>
          <w:tcPr>
            <w:tcW w:w="122" w:type="dxa"/>
            <w:tcBorders/>
            <w:shd w:fill="CCEEFF" w:val="clear"/>
            <w:vAlign w:val="center"/>
          </w:tcPr>
          <w:p>
            <w:pPr>
              <w:pStyle w:val="TableContents"/>
              <w:bidi w:val="0"/>
              <w:spacing w:lineRule="auto" w:line="285" w:before="0" w:after="0"/>
              <w:ind w:left="0" w:right="0" w:hanging="0"/>
              <w:jc w:val="left"/>
              <w:rPr>
                <w:color w:val="212529"/>
              </w:rPr>
            </w:pPr>
            <w:r>
              <w:rPr>
                <w:color w:val="212529"/>
              </w:rPr>
              <w:t>​</w:t>
            </w:r>
          </w:p>
        </w:tc>
        <w:tc>
          <w:tcPr>
            <w:tcW w:w="237" w:type="dxa"/>
            <w:tcBorders/>
            <w:shd w:fill="CCEEFF" w:val="clear"/>
            <w:vAlign w:val="center"/>
          </w:tcPr>
          <w:p>
            <w:pPr>
              <w:pStyle w:val="TableContents"/>
              <w:bidi w:val="0"/>
              <w:spacing w:lineRule="auto" w:line="285" w:before="0" w:after="0"/>
              <w:ind w:left="0" w:right="0" w:hanging="0"/>
              <w:jc w:val="left"/>
              <w:rPr>
                <w:color w:val="212529"/>
              </w:rPr>
            </w:pPr>
            <w:r>
              <w:rPr>
                <w:color w:val="212529"/>
              </w:rPr>
              <w:t>​</w:t>
            </w:r>
          </w:p>
        </w:tc>
        <w:tc>
          <w:tcPr>
            <w:tcW w:w="823" w:type="dxa"/>
            <w:tcBorders/>
            <w:shd w:fill="CCEEFF" w:val="clear"/>
            <w:vAlign w:val="center"/>
          </w:tcPr>
          <w:p>
            <w:pPr>
              <w:pStyle w:val="TableContents"/>
              <w:bidi w:val="0"/>
              <w:spacing w:lineRule="auto" w:line="285" w:before="0" w:after="0"/>
              <w:ind w:left="0" w:right="0" w:hanging="0"/>
              <w:jc w:val="left"/>
              <w:rPr>
                <w:color w:val="212529"/>
              </w:rPr>
            </w:pPr>
            <w:r>
              <w:rPr>
                <w:color w:val="212529"/>
              </w:rPr>
              <w:t>​</w:t>
            </w:r>
          </w:p>
        </w:tc>
      </w:tr>
      <w:tr>
        <w:trPr/>
        <w:tc>
          <w:tcPr>
            <w:tcW w:w="8015"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color w:val="212529"/>
                <w:sz w:val="20"/>
              </w:rPr>
            </w:pPr>
            <w:r>
              <w:rPr>
                <w:rFonts w:ascii="Times New Roman;Times;serif" w:hAnsi="Times New Roman;Times;serif"/>
                <w:color w:val="212529"/>
                <w:sz w:val="20"/>
              </w:rPr>
              <w:t>Unpaid issuance costs</w:t>
            </w:r>
          </w:p>
        </w:tc>
        <w:tc>
          <w:tcPr>
            <w:tcW w:w="237"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color w:val="212529"/>
                <w:sz w:val="20"/>
              </w:rPr>
            </w:pPr>
            <w:r>
              <w:rPr>
                <w:rFonts w:ascii="Times New Roman;Times;serif" w:hAnsi="Times New Roman;Times;serif"/>
                <w:color w:val="212529"/>
                <w:sz w:val="20"/>
              </w:rPr>
              <w:t>$</w:t>
            </w:r>
          </w:p>
        </w:tc>
        <w:tc>
          <w:tcPr>
            <w:tcW w:w="771"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122</w:t>
            </w:r>
          </w:p>
        </w:tc>
        <w:tc>
          <w:tcPr>
            <w:tcW w:w="122"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color w:val="212529"/>
              </w:rPr>
            </w:pPr>
            <w:r>
              <w:rPr>
                <w:color w:val="212529"/>
              </w:rPr>
              <w:t>​</w:t>
            </w:r>
          </w:p>
        </w:tc>
        <w:tc>
          <w:tcPr>
            <w:tcW w:w="237"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color w:val="212529"/>
                <w:sz w:val="20"/>
              </w:rPr>
            </w:pPr>
            <w:r>
              <w:rPr>
                <w:rFonts w:ascii="Times New Roman;Times;serif" w:hAnsi="Times New Roman;Times;serif"/>
                <w:color w:val="212529"/>
                <w:sz w:val="20"/>
              </w:rPr>
              <w:t>$</w:t>
            </w:r>
          </w:p>
        </w:tc>
        <w:tc>
          <w:tcPr>
            <w:tcW w:w="823" w:type="dxa"/>
            <w:tcBorders>
              <w:bottom w:val="double" w:sz="6" w:space="0" w:color="000000"/>
            </w:tcBorders>
            <w:tcMar>
              <w:bottom w:w="28" w:type="dxa"/>
            </w:tcMar>
            <w:vAlign w:val="center"/>
          </w:tcPr>
          <w:p>
            <w:pPr>
              <w:pStyle w:val="TableContents"/>
              <w:bidi w:val="0"/>
              <w:spacing w:lineRule="auto" w:line="285" w:before="0" w:after="0"/>
              <w:ind w:left="0" w:right="70" w:hanging="0"/>
              <w:jc w:val="right"/>
              <w:rPr>
                <w:rFonts w:ascii="Times New Roman;Times;serif" w:hAnsi="Times New Roman;Times;serif"/>
                <w:sz w:val="20"/>
              </w:rPr>
            </w:pPr>
            <w:r>
              <w:rPr>
                <w:rFonts w:ascii="Times New Roman;Times;serif" w:hAnsi="Times New Roman;Times;serif"/>
                <w:sz w:val="20"/>
              </w:rPr>
              <w:t>344</w:t>
            </w:r>
          </w:p>
        </w:tc>
      </w:tr>
    </w:tbl>
    <w:p>
      <w:pPr>
        <w:pStyle w:val="TextBody"/>
        <w:bidi w:val="0"/>
        <w:spacing w:lineRule="auto" w:line="285" w:before="0" w:after="0"/>
        <w:ind w:left="0" w:right="0" w:hanging="0"/>
        <w:jc w:val="center"/>
        <w:rPr/>
      </w:pPr>
      <w:r>
        <w:rPr/>
        <w:t>​</w:t>
      </w:r>
    </w:p>
    <w:p>
      <w:pPr>
        <w:pStyle w:val="TextBody"/>
        <w:bidi w:val="0"/>
        <w:spacing w:lineRule="auto" w:line="285" w:before="0" w:after="0"/>
        <w:ind w:left="0" w:right="0" w:hanging="0"/>
        <w:jc w:val="center"/>
        <w:rPr/>
      </w:pPr>
      <w:r>
        <w:rPr/>
        <w:t>​</w:t>
      </w:r>
    </w:p>
    <w:p>
      <w:pPr>
        <w:pStyle w:val="TextBody"/>
        <w:bidi w:val="0"/>
        <w:spacing w:lineRule="auto" w:line="285" w:before="0" w:after="0"/>
        <w:ind w:left="0" w:right="0" w:hanging="0"/>
        <w:jc w:val="center"/>
        <w:rPr/>
      </w:pPr>
      <w:r>
        <w:rPr/>
        <w:t>​</w:t>
      </w:r>
    </w:p>
    <w:p>
      <w:pPr>
        <w:pStyle w:val="TextBody"/>
        <w:bidi w:val="0"/>
        <w:spacing w:lineRule="auto" w:line="285" w:before="0" w:after="0"/>
        <w:ind w:left="0" w:right="0" w:hanging="0"/>
        <w:jc w:val="center"/>
        <w:rPr/>
      </w:pPr>
      <w:r>
        <w:rPr/>
        <w:t>​</w:t>
      </w:r>
    </w:p>
    <w:p>
      <w:pPr>
        <w:pStyle w:val="TextBody"/>
        <w:bidi w:val="0"/>
        <w:spacing w:lineRule="auto" w:line="285" w:before="0" w:after="0"/>
        <w:ind w:left="0" w:right="0" w:hanging="0"/>
        <w:jc w:val="center"/>
        <w:rPr/>
      </w:pPr>
      <w:r>
        <w:rPr/>
        <w:t>​</w:t>
      </w:r>
    </w:p>
    <w:p>
      <w:pPr>
        <w:pStyle w:val="TextBody"/>
        <w:bidi w:val="0"/>
        <w:spacing w:lineRule="auto" w:line="285" w:before="0" w:after="0"/>
        <w:ind w:left="0" w:right="0" w:hanging="0"/>
        <w:jc w:val="center"/>
        <w:rPr/>
      </w:pPr>
      <w:r>
        <w:rPr/>
        <w:t>​</w:t>
      </w:r>
    </w:p>
    <w:p>
      <w:pPr>
        <w:pStyle w:val="TextBody"/>
        <w:shd w:fill="FFFFFF" w:val="clear"/>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The accompanying notes are an integral part of these unaudited condensed consolidated financial statements</w:t>
      </w:r>
      <w:r>
        <w:rPr>
          <w:rFonts w:ascii="Times New Roman;Times;serif" w:hAnsi="Times New Roman;Times;serif"/>
          <w:sz w:val="24"/>
        </w:rPr>
        <w:t>.</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center"/>
        <w:rPr/>
      </w:pPr>
      <w:r>
        <w:rPr/>
        <w:t>​</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6</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MetaVia Inc.</w:t>
      </w:r>
    </w:p>
    <w:p>
      <w:pPr>
        <w:pStyle w:val="TextBody"/>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Notes to the Condensed Consolidated Financial Statements</w:t>
      </w:r>
    </w:p>
    <w:p>
      <w:pPr>
        <w:pStyle w:val="TextBody"/>
        <w:bidi w:val="0"/>
        <w:spacing w:lineRule="auto" w:line="285" w:before="0" w:after="0"/>
        <w:ind w:left="0" w:right="0" w:hanging="0"/>
        <w:jc w:val="center"/>
        <w:rPr>
          <w:rFonts w:ascii="Times New Roman;Times;serif" w:hAnsi="Times New Roman;Times;serif"/>
          <w:sz w:val="16"/>
        </w:rPr>
      </w:pPr>
      <w:r>
        <w:rPr>
          <w:rFonts w:ascii="Times New Roman;Times;serif" w:hAnsi="Times New Roman;Times;serif"/>
          <w:sz w:val="16"/>
        </w:rPr>
        <w:t>(Unaudited)</w:t>
      </w:r>
    </w:p>
    <w:p>
      <w:pPr>
        <w:pStyle w:val="TextBody"/>
        <w:bidi w:val="0"/>
        <w:spacing w:lineRule="auto" w:line="285" w:before="0" w:after="0"/>
        <w:ind w:left="0" w:right="0" w:hanging="0"/>
        <w:jc w:val="left"/>
        <w:rPr/>
      </w:pPr>
      <w:r>
        <w:rPr/>
        <w:t>​</w:t>
      </w:r>
    </w:p>
    <w:p>
      <w:pPr>
        <w:pStyle w:val="TextBody"/>
        <w:bidi w:val="0"/>
        <w:spacing w:lineRule="auto" w:line="285" w:before="0" w:after="160"/>
        <w:ind w:left="0" w:right="0" w:hanging="0"/>
        <w:jc w:val="left"/>
        <w:rPr>
          <w:rFonts w:ascii="Times New Roman;Times;serif" w:hAnsi="Times New Roman;Times;serif"/>
          <w:sz w:val="20"/>
        </w:rPr>
      </w:pPr>
      <w:bookmarkStart w:id="508" w:name="TheCompanyandBasisofPresentation_829357"/>
      <w:bookmarkEnd w:id="508"/>
      <w:r>
        <w:rPr>
          <w:rFonts w:ascii="Times New Roman;Times;serif" w:hAnsi="Times New Roman;Times;serif"/>
          <w:b/>
          <w:i w:val="false"/>
          <w:caps w:val="false"/>
          <w:smallCaps w:val="false"/>
          <w:sz w:val="20"/>
        </w:rPr>
        <w:t>1.</w:t>
      </w:r>
      <w:r>
        <w:rPr>
          <w:rFonts w:ascii="Times New Roman;Times;serif" w:hAnsi="Times New Roman;Times;serif"/>
          <w:b/>
          <w:sz w:val="20"/>
        </w:rPr>
        <w:t>Business, basis of presentation, new accounting standards and summary of significant accounting policies</w:t>
      </w:r>
    </w:p>
    <w:p>
      <w:pPr>
        <w:pStyle w:val="TextBody"/>
        <w:bidi w:val="0"/>
        <w:spacing w:lineRule="auto" w:line="285" w:before="0" w:after="160"/>
        <w:ind w:left="0" w:right="0" w:hanging="0"/>
        <w:jc w:val="both"/>
        <w:rPr>
          <w:rFonts w:ascii="Times New Roman;Times;serif" w:hAnsi="Times New Roman;Times;serif"/>
          <w:b/>
          <w:sz w:val="20"/>
        </w:rPr>
      </w:pPr>
      <w:r>
        <w:rPr>
          <w:rFonts w:ascii="Times New Roman;Times;serif" w:hAnsi="Times New Roman;Times;serif"/>
          <w:b/>
          <w:sz w:val="20"/>
        </w:rPr>
        <w:t>General</w:t>
      </w:r>
    </w:p>
    <w:p>
      <w:pPr>
        <w:pStyle w:val="TextBody"/>
        <w:bidi w:val="0"/>
        <w:spacing w:lineRule="auto" w:line="285" w:before="0" w:after="160"/>
        <w:ind w:left="0" w:right="0" w:hanging="0"/>
        <w:jc w:val="both"/>
        <w:rPr>
          <w:rFonts w:ascii="Times New Roman;Times;serif" w:hAnsi="Times New Roman;Times;serif"/>
          <w:sz w:val="20"/>
          <w:shd w:fill="FFFFFF" w:val="clear"/>
        </w:rPr>
      </w:pPr>
      <w:r>
        <w:rPr>
          <w:rFonts w:ascii="Times New Roman;Times;serif" w:hAnsi="Times New Roman;Times;serif"/>
          <w:sz w:val="20"/>
          <w:shd w:fill="FFFFFF" w:val="clear"/>
        </w:rPr>
        <w:t>MetaVia Inc. (the “Company”), a Delaware corporation, and its subsidiaries are referred to collectively in these notes to the financial statements of the Company as “MetaVia,” “we,” “our” and “us.” We are a clinical-stage biotechnology company focused primarily on developing novel pharmaceuticals to treat cardiometabolic diseases. We have two programs, vanoglipel and DA-1726, focused primarily on the treatment of metabolic dysfunction-associated steatohepatitis (“MASH”) and obesity.</w:t>
      </w:r>
    </w:p>
    <w:p>
      <w:pPr>
        <w:pStyle w:val="TextBody"/>
        <w:bidi w:val="0"/>
        <w:spacing w:lineRule="auto" w:line="285" w:before="0" w:after="160"/>
        <w:ind w:left="0" w:right="0" w:hanging="0"/>
        <w:jc w:val="both"/>
        <w:rPr>
          <w:rFonts w:ascii="Times New Roman;Times;serif" w:hAnsi="Times New Roman;Times;serif"/>
          <w:sz w:val="20"/>
          <w:shd w:fill="FFFFFF" w:val="clear"/>
        </w:rPr>
      </w:pPr>
      <w:r>
        <w:rPr>
          <w:rFonts w:ascii="Times New Roman;Times;serif" w:hAnsi="Times New Roman;Times;serif"/>
          <w:sz w:val="20"/>
          <w:shd w:fill="FFFFFF" w:val="clear"/>
        </w:rPr>
        <w:t>While we focus our financial resources and management’s attention on the development of vanoglipel and DA-1726, we also have four legacy therapeutic programs designed to impact a range of indications in viral, neurodegenerative and cardiometabolic diseases which we are not planning to advance development on and have, or continue to consider for, out-licensing and divestiture opportunities. In July 2024, we entered into an exclusive out-license agreement with MThera Pharma Co., LTD. (“MThera”) to provide MThera with the rights to one of our legacy therapeutic programs, NB-01, for the treatment of painful diabetic neuropathy.</w:t>
      </w:r>
    </w:p>
    <w:p>
      <w:pPr>
        <w:pStyle w:val="TextBody"/>
        <w:bidi w:val="0"/>
        <w:spacing w:lineRule="auto" w:line="285" w:before="0" w:after="160"/>
        <w:ind w:left="0" w:right="0" w:hanging="0"/>
        <w:jc w:val="both"/>
        <w:rPr>
          <w:rFonts w:ascii="Times New Roman;Times;serif" w:hAnsi="Times New Roman;Times;serif"/>
          <w:sz w:val="20"/>
          <w:shd w:fill="FFFFFF" w:val="clear"/>
        </w:rPr>
      </w:pPr>
      <w:r>
        <w:rPr>
          <w:rFonts w:ascii="Times New Roman;Times;serif" w:hAnsi="Times New Roman;Times;serif"/>
          <w:sz w:val="20"/>
          <w:shd w:fill="FFFFFF" w:val="clear"/>
        </w:rPr>
        <w:t>Our operations consist principally of performing research and development (“R&amp;D”) activities, which include preclinical development and clinical trials, and raising capital. Our activities are subject to significant risks and uncertainties, including failing to secure additional funding before sustainable revenues and profit from operations are achieved.</w:t>
      </w:r>
    </w:p>
    <w:p>
      <w:pPr>
        <w:pStyle w:val="TextBody"/>
        <w:bidi w:val="0"/>
        <w:spacing w:lineRule="auto" w:line="285" w:before="0" w:after="160"/>
        <w:ind w:left="0" w:right="0" w:hanging="0"/>
        <w:jc w:val="both"/>
        <w:rPr>
          <w:rFonts w:ascii="Times New Roman;Times;serif" w:hAnsi="Times New Roman;Times;serif"/>
          <w:b/>
          <w:sz w:val="20"/>
          <w:shd w:fill="FFFFFF" w:val="clear"/>
        </w:rPr>
      </w:pPr>
      <w:r>
        <w:rPr>
          <w:rFonts w:ascii="Times New Roman;Times;serif" w:hAnsi="Times New Roman;Times;serif"/>
          <w:b/>
          <w:sz w:val="20"/>
          <w:shd w:fill="FFFFFF" w:val="clear"/>
        </w:rPr>
        <w:t>Going concern</w:t>
      </w:r>
    </w:p>
    <w:p>
      <w:pPr>
        <w:pStyle w:val="TextBody"/>
        <w:pBdr/>
        <w:bidi w:val="0"/>
        <w:spacing w:lineRule="auto" w:line="285" w:before="0" w:after="0"/>
        <w:ind w:left="0" w:right="0" w:hanging="0"/>
        <w:jc w:val="both"/>
        <w:rPr>
          <w:rFonts w:ascii="Times New Roman;Times;serif" w:hAnsi="Times New Roman;Times;serif"/>
          <w:sz w:val="20"/>
        </w:rPr>
      </w:pPr>
      <w:r>
        <w:rPr>
          <w:rFonts w:ascii="Times New Roman;Times;serif" w:hAnsi="Times New Roman;Times;serif"/>
          <w:sz w:val="20"/>
          <w:shd w:fill="FFFFFF" w:val="clear"/>
        </w:rPr>
        <w:t xml:space="preserve">As reflected in the condensed consolidated financial statements, we had $12.6 million in cash and cash equivalents as of June 30, 2026. We have experienced net losses and negative cash flows from operating activities since our inception and had an accumulated deficit of $158.0 million as of June 30, 2026. We have incurred a net loss of $9.1 million and net cash used in operating activities of $8.0 million for the six months ended June 30, 2026. </w:t>
      </w:r>
      <w:r>
        <w:rPr>
          <w:rFonts w:ascii="Times New Roman;Times;serif" w:hAnsi="Times New Roman;Times;serif"/>
          <w:color w:val="212529"/>
          <w:sz w:val="20"/>
          <w:shd w:fill="FFFFFF" w:val="clear"/>
        </w:rPr>
        <w:t>Due in large part to ongoing clinical trials, we expect to continue to incur net losses and negative cash flows from operating activities for the foreseeable future. These conditions raise substantial doubt about our ability to continue as a going concern within one year from the issuance of these condensed consolidated financial statements.</w:t>
      </w:r>
    </w:p>
    <w:p>
      <w:pPr>
        <w:pStyle w:val="TextBody"/>
        <w:shd w:fill="FFFFFF" w:val="clear"/>
        <w:bidi w:val="0"/>
        <w:spacing w:lineRule="auto" w:line="285" w:before="0" w:after="160"/>
        <w:ind w:left="0" w:right="0" w:hanging="0"/>
        <w:jc w:val="both"/>
        <w:rPr>
          <w:rFonts w:ascii="Times New Roman;Times;serif" w:hAnsi="Times New Roman;Times;serif"/>
          <w:sz w:val="20"/>
        </w:rPr>
      </w:pPr>
      <w:r>
        <w:rPr>
          <w:rFonts w:ascii="Times New Roman;Times;serif" w:hAnsi="Times New Roman;Times;serif"/>
          <w:color w:val="212529"/>
          <w:sz w:val="20"/>
        </w:rPr>
        <w:t>We plan to continue to fund our operations through equity offerings, debt financing, the exercise of existing warrants, or other sources, potentially including collaborations, out-licensing and other similar arrangements. However, there can be no assurance that we will be able to obtain any sources of financing on acceptable terms, or at all, or that the warrants issued in previously consummated offerings will be exercised. To the extent that we can raise additional funds by issuing equity securities or in the event our remaining warrants are exercised, our stockholders may experience significant dilution. Any debt financing, if available,</w:t>
      </w:r>
      <w:r>
        <w:rPr>
          <w:rFonts w:ascii="Times New Roman;Times;serif" w:hAnsi="Times New Roman;Times;serif"/>
          <w:sz w:val="20"/>
        </w:rPr>
        <w:t xml:space="preserve"> </w:t>
      </w:r>
      <w:r>
        <w:rPr>
          <w:rFonts w:ascii="Times New Roman;Times;serif" w:hAnsi="Times New Roman;Times;serif"/>
          <w:color w:val="212529"/>
          <w:sz w:val="20"/>
        </w:rPr>
        <w:t>may involve restrictive covenants that impact our ability to conduct our business. If we are unable to raise additional capital, we may slow down or stop our ongoing and planned clinical trials until such time as additional capital is raised and this may have a material adverse effect on the Company.</w:t>
      </w:r>
    </w:p>
    <w:p>
      <w:pPr>
        <w:pStyle w:val="TextBody"/>
        <w:bidi w:val="0"/>
        <w:spacing w:lineRule="auto" w:line="285" w:before="0" w:after="160"/>
        <w:ind w:left="0" w:right="0" w:hanging="0"/>
        <w:jc w:val="both"/>
        <w:rPr>
          <w:rFonts w:ascii="Times New Roman;Times;serif" w:hAnsi="Times New Roman;Times;serif"/>
          <w:sz w:val="20"/>
        </w:rPr>
      </w:pPr>
      <w:r>
        <w:rPr>
          <w:rFonts w:ascii="Times New Roman;Times;serif" w:hAnsi="Times New Roman;Times;serif"/>
          <w:sz w:val="20"/>
          <w:shd w:fill="FFFFFF" w:val="clear"/>
        </w:rPr>
        <w:t>The determination as to whether we can continue as a going concern contemplates the realization of assets and the satisfaction of liabilities in the normal course of business. </w:t>
      </w:r>
      <w:r>
        <w:rPr>
          <w:rFonts w:ascii="Times New Roman;Times;serif" w:hAnsi="Times New Roman;Times;serif"/>
          <w:sz w:val="20"/>
        </w:rPr>
        <w:t>Our condensed consolidated financial statements </w:t>
      </w:r>
      <w:r>
        <w:rPr>
          <w:rFonts w:ascii="Times New Roman;Times;serif" w:hAnsi="Times New Roman;Times;serif"/>
          <w:sz w:val="20"/>
          <w:shd w:fill="FFFFFF" w:val="clear"/>
        </w:rPr>
        <w:t>have been prepared assuming that we will continue as a going concern and do not include any adjustments that might result from the outcome of this uncertainty. This basis of accounting contemplates the recovery of our assets and the satisfaction of our liabilities in the normal course of business.</w:t>
      </w:r>
    </w:p>
    <w:p>
      <w:pPr>
        <w:pStyle w:val="TextBody"/>
        <w:bidi w:val="0"/>
        <w:spacing w:lineRule="auto" w:line="285" w:before="0" w:after="16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A.</w:t>
      </w:r>
      <w:r>
        <w:rPr>
          <w:rFonts w:ascii="Times New Roman;Times;serif" w:hAnsi="Times New Roman;Times;serif"/>
          <w:b/>
          <w:sz w:val="20"/>
        </w:rPr>
        <w:t>Basis of presentation</w:t>
      </w:r>
    </w:p>
    <w:p>
      <w:pPr>
        <w:pStyle w:val="TextBody"/>
        <w:bidi w:val="0"/>
        <w:spacing w:lineRule="auto" w:line="285" w:before="0" w:after="160"/>
        <w:ind w:left="0" w:right="0" w:hanging="0"/>
        <w:jc w:val="both"/>
        <w:rPr>
          <w:rFonts w:ascii="Times New Roman;Times;serif" w:hAnsi="Times New Roman;Times;serif"/>
          <w:sz w:val="20"/>
          <w:shd w:fill="FFFFFF" w:val="clear"/>
        </w:rPr>
      </w:pPr>
      <w:r>
        <w:rPr>
          <w:rFonts w:ascii="Times New Roman;Times;serif" w:hAnsi="Times New Roman;Times;serif"/>
          <w:sz w:val="20"/>
          <w:shd w:fill="FFFFFF" w:val="clear"/>
        </w:rPr>
        <w:t>We prepared the condensed consolidated financial statements following the requirements of the United States (“U.S.”) Securities and Exchange Commission (“SEC”) for interim reporting. As permitted under those rules, certain notes or other financial information that are normally required by accounting principles generally accepted in the U.S. (“GAAP”) for complete financial statements can be condensed or omitted. However, except as disclosed herein, there has been no material change in the information disclosed in the notes included in our Annual Report on Form 10-K for the fiscal year ended December 31, 2025 (“2025 Form 10-K”).</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7</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MetaVia Inc.</w:t>
      </w:r>
    </w:p>
    <w:p>
      <w:pPr>
        <w:pStyle w:val="TextBody"/>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Notes to the Condensed Consolidated Financial Statements</w:t>
      </w:r>
    </w:p>
    <w:p>
      <w:pPr>
        <w:pStyle w:val="TextBody"/>
        <w:bidi w:val="0"/>
        <w:spacing w:lineRule="auto" w:line="285" w:before="0" w:after="0"/>
        <w:ind w:left="0" w:right="0" w:hanging="0"/>
        <w:jc w:val="center"/>
        <w:rPr>
          <w:rFonts w:ascii="Times New Roman;Times;serif" w:hAnsi="Times New Roman;Times;serif"/>
          <w:sz w:val="16"/>
        </w:rPr>
      </w:pPr>
      <w:r>
        <w:rPr>
          <w:rFonts w:ascii="Times New Roman;Times;serif" w:hAnsi="Times New Roman;Times;serif"/>
          <w:sz w:val="16"/>
        </w:rPr>
        <w:t>(Unaudited)</w:t>
      </w:r>
    </w:p>
    <w:p>
      <w:pPr>
        <w:pStyle w:val="TextBody"/>
        <w:bidi w:val="0"/>
        <w:spacing w:lineRule="auto" w:line="285" w:before="0" w:after="0"/>
        <w:ind w:left="0" w:right="0" w:hanging="0"/>
        <w:jc w:val="left"/>
        <w:rPr/>
      </w:pPr>
      <w:r>
        <w:rPr/>
        <w:t>​</w:t>
      </w:r>
    </w:p>
    <w:p>
      <w:pPr>
        <w:pStyle w:val="TextBody"/>
        <w:bidi w:val="0"/>
        <w:spacing w:lineRule="auto" w:line="285" w:before="0" w:after="160"/>
        <w:ind w:left="0" w:right="0" w:hanging="0"/>
        <w:jc w:val="both"/>
        <w:rPr>
          <w:rFonts w:ascii="Times New Roman;Times;serif" w:hAnsi="Times New Roman;Times;serif"/>
          <w:sz w:val="20"/>
          <w:shd w:fill="FFFFFF" w:val="clear"/>
        </w:rPr>
      </w:pPr>
      <w:r>
        <w:rPr>
          <w:rFonts w:ascii="Times New Roman;Times;serif" w:hAnsi="Times New Roman;Times;serif"/>
          <w:sz w:val="20"/>
          <w:shd w:fill="FFFFFF" w:val="clear"/>
        </w:rPr>
        <w:t>Revenues, expenses, assets, liabilities, and equities can vary during each quarter of the year. Therefore, the results and trends in these condensed consolidated financial statements may not be representative of those for the full year. In our opinion, all adjustments necessary for a fair statement of the condensed consolidated financial statements, which are of a normal and recurring nature, have been made for the interim periods reported. The information included in the condensed consolidated financial statements should be read in conjunction with the audited consolidated financial statements and accompanying notes included in our 2025 Form 10-K. Certain amounts in the condensed consolidated financial statements and accompanying notes may not add up due to rounding, and all percentages have been calculated using unrounded amounts.</w:t>
      </w:r>
    </w:p>
    <w:p>
      <w:pPr>
        <w:pStyle w:val="TextBody"/>
        <w:bidi w:val="0"/>
        <w:spacing w:lineRule="auto" w:line="285" w:before="0" w:after="16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B.</w:t>
      </w:r>
      <w:r>
        <w:rPr>
          <w:rFonts w:ascii="Times New Roman;Times;serif" w:hAnsi="Times New Roman;Times;serif"/>
          <w:b/>
          <w:sz w:val="20"/>
        </w:rPr>
        <w:t>New accounting standards</w:t>
      </w:r>
    </w:p>
    <w:p>
      <w:pPr>
        <w:pStyle w:val="TextBody"/>
        <w:bidi w:val="0"/>
        <w:spacing w:lineRule="auto" w:line="285" w:before="0" w:after="160"/>
        <w:ind w:left="0" w:right="0" w:hanging="0"/>
        <w:jc w:val="both"/>
        <w:rPr>
          <w:rFonts w:ascii="Times New Roman;Times;serif" w:hAnsi="Times New Roman;Times;serif"/>
          <w:i/>
          <w:sz w:val="20"/>
          <w:shd w:fill="FFFFFF" w:val="clear"/>
        </w:rPr>
      </w:pPr>
      <w:r>
        <w:rPr>
          <w:rFonts w:ascii="Times New Roman;Times;serif" w:hAnsi="Times New Roman;Times;serif"/>
          <w:i/>
          <w:sz w:val="20"/>
          <w:shd w:fill="FFFFFF" w:val="clear"/>
        </w:rPr>
        <w:t>Adoption of new accounting standards</w:t>
      </w:r>
    </w:p>
    <w:p>
      <w:pPr>
        <w:pStyle w:val="TextBody"/>
        <w:bidi w:val="0"/>
        <w:spacing w:lineRule="auto" w:line="285" w:before="0" w:after="160"/>
        <w:ind w:left="0" w:right="0" w:hanging="0"/>
        <w:jc w:val="both"/>
        <w:rPr>
          <w:rFonts w:ascii="revert-layer" w:hAnsi="revert-layer"/>
          <w:color w:val="212529"/>
          <w:sz w:val="20"/>
          <w:shd w:fill="FFFFFF" w:val="clear"/>
        </w:rPr>
      </w:pPr>
      <w:r>
        <w:rPr>
          <w:rFonts w:ascii="revert-layer" w:hAnsi="revert-layer"/>
          <w:color w:val="212529"/>
          <w:sz w:val="20"/>
          <w:shd w:fill="FFFFFF" w:val="clear"/>
        </w:rPr>
        <w:t>New accounting standards or accounting standards updates were assessed and determined to be either not applicable or did not have a material impact on our consolidated financial statements or processes.</w:t>
      </w:r>
    </w:p>
    <w:p>
      <w:pPr>
        <w:pStyle w:val="TextBody"/>
        <w:bidi w:val="0"/>
        <w:spacing w:lineRule="auto" w:line="285" w:before="0" w:after="160"/>
        <w:ind w:left="0" w:right="0" w:hanging="0"/>
        <w:jc w:val="both"/>
        <w:rPr>
          <w:rFonts w:ascii="Times New Roman;Times;serif" w:hAnsi="Times New Roman;Times;serif"/>
          <w:i/>
          <w:sz w:val="20"/>
          <w:shd w:fill="FFFFFF" w:val="clear"/>
        </w:rPr>
      </w:pPr>
      <w:r>
        <w:rPr>
          <w:rFonts w:ascii="Times New Roman;Times;serif" w:hAnsi="Times New Roman;Times;serif"/>
          <w:i/>
          <w:sz w:val="20"/>
          <w:shd w:fill="FFFFFF" w:val="clear"/>
        </w:rPr>
        <w:t>Accounting standards issued but not yet adopted</w:t>
      </w:r>
    </w:p>
    <w:p>
      <w:pPr>
        <w:pStyle w:val="TextBody"/>
        <w:bidi w:val="0"/>
        <w:spacing w:lineRule="auto" w:line="285" w:before="0" w:after="160"/>
        <w:ind w:left="0" w:right="0" w:hanging="0"/>
        <w:jc w:val="both"/>
        <w:rPr>
          <w:rFonts w:ascii="Times New Roman;Times;serif" w:hAnsi="Times New Roman;Times;serif"/>
          <w:color w:val="212529"/>
          <w:sz w:val="20"/>
        </w:rPr>
      </w:pPr>
      <w:r>
        <w:rPr>
          <w:rFonts w:ascii="Times New Roman;Times;serif" w:hAnsi="Times New Roman;Times;serif"/>
          <w:color w:val="212529"/>
          <w:sz w:val="20"/>
        </w:rPr>
        <w:t>In November 2024, the FASB issued ASU 2024-03, Income Statement-Reporting Comprehensive Income-Expense Disaggregation Disclosures (Subtopic 220-40): Disaggregation of Income Statement Expenses to improve financial reporting by requiring that public business entities disclose additional information about specific expense categories in the notes to the consolidated financial statements at interim and annual reporting periods. The amendments in this ASU do not change or remove current expense disclosure requirements; however, the amendments affect where such information appears in the notes to the consolidated financial statements because entities are required to include certain current disclosures in the same tabular format disclosure as the other disaggregation requirements in the amendments. In January 2025, the FASB issued ASU 2025-01, Income Statement-Reporting Comprehensive Income-Expense Disaggregation Disclosures (Subtopic 220-40): Clarifying the Effective Date. This ASU is effective for annual reporting periods beginning after December 15, 2026, and interim reporting periods within annual reporting period beginning after December 15, 2027. Early adoption is permitted. We continue to evaluate the impact of adopting this ASU to our notes to the consolidated financial statements and processes.</w:t>
      </w:r>
    </w:p>
    <w:p>
      <w:pPr>
        <w:pStyle w:val="TextBody"/>
        <w:bidi w:val="0"/>
        <w:spacing w:lineRule="auto" w:line="285" w:before="0" w:after="160"/>
        <w:ind w:left="0" w:right="0" w:hanging="0"/>
        <w:jc w:val="both"/>
        <w:rPr>
          <w:rFonts w:ascii="Times New Roman;Times;serif" w:hAnsi="Times New Roman;Times;serif"/>
          <w:color w:val="212529"/>
          <w:sz w:val="20"/>
          <w:shd w:fill="FFFFFF" w:val="clear"/>
        </w:rPr>
      </w:pPr>
      <w:r>
        <w:rPr>
          <w:rFonts w:ascii="Times New Roman;Times;serif" w:hAnsi="Times New Roman;Times;serif"/>
          <w:color w:val="212529"/>
          <w:sz w:val="20"/>
          <w:shd w:fill="FFFFFF" w:val="clear"/>
        </w:rPr>
        <w:t>Other recently issued accounting standards not yet adopted by us are not expected, upon adoption, to have a material impact on our consolidated financial statements.</w:t>
      </w:r>
    </w:p>
    <w:p>
      <w:pPr>
        <w:pStyle w:val="TextBody"/>
        <w:bidi w:val="0"/>
        <w:spacing w:lineRule="auto" w:line="285" w:before="0" w:after="16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C.</w:t>
      </w:r>
      <w:r>
        <w:rPr>
          <w:rFonts w:ascii="Times New Roman;Times;serif" w:hAnsi="Times New Roman;Times;serif"/>
          <w:b/>
          <w:sz w:val="20"/>
        </w:rPr>
        <w:t>Estimates and assumptions</w:t>
      </w:r>
    </w:p>
    <w:p>
      <w:pPr>
        <w:pStyle w:val="TextBody"/>
        <w:bidi w:val="0"/>
        <w:spacing w:lineRule="auto" w:line="285" w:before="0" w:after="160"/>
        <w:ind w:left="0" w:right="0" w:hanging="0"/>
        <w:jc w:val="both"/>
        <w:rPr>
          <w:rFonts w:ascii="Times New Roman;Times;serif" w:hAnsi="Times New Roman;Times;serif"/>
          <w:sz w:val="20"/>
        </w:rPr>
      </w:pPr>
      <w:r>
        <w:rPr>
          <w:rFonts w:ascii="Times New Roman;Times;serif" w:hAnsi="Times New Roman;Times;serif"/>
          <w:sz w:val="20"/>
        </w:rPr>
        <w:t>The preparation of financial statements in conformity with GAAP requires management to make estimates and assumptions that affect the reported amounts of assets, liabilities, expenses, and related disclosure of contingent assets and liabilities at the date of the condensed consolidated financial statements and the reported amounts of expenses during the reporting period. The most significant estimates in our condensed consolidated financial statements relate to clinical trial costs and accruals, classification of warrants as derivative liability or equity, and the fair value of stock-based compensation and warrants. We base our estimates on historical experience and on various other assumptions that are believed to be reasonable, the results of which form the basis for making judgments about the carrying values of assets and liabilities. Actual results could differ from those estimates. Changes in estimates are reflected in reported results in the period in which they become known.</w:t>
      </w:r>
    </w:p>
    <w:p>
      <w:pPr>
        <w:pStyle w:val="TextBody"/>
        <w:bidi w:val="0"/>
        <w:spacing w:lineRule="auto" w:line="285" w:before="0" w:after="16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D.</w:t>
      </w:r>
      <w:r>
        <w:rPr>
          <w:rFonts w:ascii="Times New Roman;Times;serif" w:hAnsi="Times New Roman;Times;serif"/>
          <w:b/>
          <w:sz w:val="20"/>
        </w:rPr>
        <w:t>Significant accounting policies</w:t>
      </w:r>
    </w:p>
    <w:p>
      <w:pPr>
        <w:pStyle w:val="TextBody"/>
        <w:bidi w:val="0"/>
        <w:spacing w:lineRule="auto" w:line="285" w:before="0" w:after="120"/>
        <w:ind w:left="0" w:right="0" w:hanging="0"/>
        <w:jc w:val="both"/>
        <w:rPr>
          <w:rFonts w:ascii="Times New Roman;Times;serif" w:hAnsi="Times New Roman;Times;serif"/>
          <w:sz w:val="20"/>
        </w:rPr>
      </w:pPr>
      <w:r>
        <w:rPr>
          <w:rFonts w:ascii="Times New Roman;Times;serif" w:hAnsi="Times New Roman;Times;serif"/>
          <w:sz w:val="20"/>
        </w:rPr>
        <w:t>Our significant accounting policies are described in “Note 1. Business, basis of presentation, new accounting standards and summary of significant accounting policies” in the audited consolidated financial statements and notes thereto for the year ended December 31, 2025, which is included in our 2025 Form 10-K. Except for the following disclosure, there have been no material changes to our significant accounting policies.</w:t>
      </w:r>
    </w:p>
    <w:p>
      <w:pPr>
        <w:pStyle w:val="TextBody"/>
        <w:bidi w:val="0"/>
        <w:spacing w:lineRule="auto" w:line="285" w:before="0" w:after="120"/>
        <w:ind w:left="0" w:right="0" w:hanging="0"/>
        <w:jc w:val="left"/>
        <w:rPr>
          <w:rFonts w:ascii="Times New Roman;Times;serif" w:hAnsi="Times New Roman;Times;serif"/>
          <w:i/>
          <w:sz w:val="20"/>
        </w:rPr>
      </w:pPr>
      <w:r>
        <w:rPr>
          <w:rFonts w:ascii="Times New Roman;Times;serif" w:hAnsi="Times New Roman;Times;serif"/>
          <w:i/>
          <w:sz w:val="20"/>
        </w:rPr>
        <w:t>Financial Instruments with Characteristics of Both Liabilities and Equity</w:t>
      </w:r>
    </w:p>
    <w:p>
      <w:pPr>
        <w:pStyle w:val="TextBody"/>
        <w:bidi w:val="0"/>
        <w:spacing w:lineRule="auto" w:line="285" w:before="0" w:after="0"/>
        <w:ind w:left="0" w:right="0" w:hanging="0"/>
        <w:jc w:val="both"/>
        <w:rPr>
          <w:rFonts w:ascii="Times New Roman;Times;serif" w:hAnsi="Times New Roman;Times;serif"/>
          <w:sz w:val="20"/>
        </w:rPr>
      </w:pPr>
      <w:r>
        <w:rPr>
          <w:rFonts w:ascii="Times New Roman;Times;serif" w:hAnsi="Times New Roman;Times;serif"/>
          <w:sz w:val="20"/>
        </w:rPr>
        <w:t xml:space="preserve">We account for issued warrants either as a liability or equity in accordance with Accounting Standard Codification (“ASC”) 480-10, Accounting for Certain Financial Instruments with Characteristics of both Liabilities and Equity, and ASC 815-40, </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8</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MetaVia Inc.</w:t>
      </w:r>
    </w:p>
    <w:p>
      <w:pPr>
        <w:pStyle w:val="TextBody"/>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Notes to the Condensed Consolidated Financial Statements</w:t>
      </w:r>
    </w:p>
    <w:p>
      <w:pPr>
        <w:pStyle w:val="TextBody"/>
        <w:bidi w:val="0"/>
        <w:spacing w:lineRule="auto" w:line="285" w:before="0" w:after="0"/>
        <w:ind w:left="0" w:right="0" w:hanging="0"/>
        <w:jc w:val="center"/>
        <w:rPr>
          <w:rFonts w:ascii="Times New Roman;Times;serif" w:hAnsi="Times New Roman;Times;serif"/>
          <w:sz w:val="16"/>
        </w:rPr>
      </w:pPr>
      <w:r>
        <w:rPr>
          <w:rFonts w:ascii="Times New Roman;Times;serif" w:hAnsi="Times New Roman;Times;serif"/>
          <w:sz w:val="16"/>
        </w:rPr>
        <w:t>(Unaudited)</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both"/>
        <w:rPr>
          <w:rFonts w:ascii="Times New Roman;Times;serif" w:hAnsi="Times New Roman;Times;serif"/>
          <w:sz w:val="20"/>
        </w:rPr>
      </w:pPr>
      <w:r>
        <w:rPr>
          <w:rFonts w:ascii="Times New Roman;Times;serif" w:hAnsi="Times New Roman;Times;serif"/>
          <w:sz w:val="20"/>
        </w:rPr>
        <w:t>Accounting for Derivative Financial Instruments Indexed to, and Potentially Settled in, a Company’s Own Stock. Under ASC 480-10, warrants are considered a liability if they are mandatorily redeemable and they require settlement in cash, other assets, or a variable number of shares. If warrants do not meet liability classification under ASC 480-10, we consider the requirements of ASC 815-40 to determine whether the warrants should be classified as a liability or as equity. Under ASC 815-40, contracts that may require settlement for cash are liabilities, regardless of the probability of the occurrence of the triggering event. Liability-classified warrants are measured at fair value on the issuance date and at the end of each reporting period. Any change in the fair value of the warrants after the issuance date is recorded in other expense, net in the consolidated statements of operations as a gain or loss. If warrants do not require liability classification under ASC 815-40, in order to conclude warrants should be classified as equity, we assess whether the warrants are indexed to its common stock and whether the warrants are classified as equity under ASC 815-40 or under another applicable GAAP standard. Equity-classified warrants are accounted for at fair value on the issuance date with no changes in fair value recognized after the issuance date.</w:t>
      </w:r>
    </w:p>
    <w:p>
      <w:pPr>
        <w:pStyle w:val="TextBody"/>
        <w:bidi w:val="0"/>
        <w:spacing w:lineRule="auto" w:line="285" w:before="0" w:after="0"/>
        <w:ind w:left="0" w:right="0" w:hanging="0"/>
        <w:jc w:val="both"/>
        <w:rPr>
          <w:shd w:fill="FFFFFF" w:val="clear"/>
        </w:rPr>
      </w:pPr>
      <w:r>
        <w:rPr>
          <w:shd w:fill="FFFFFF" w:val="clear"/>
        </w:rPr>
        <w:t>​</w:t>
      </w:r>
    </w:p>
    <w:p>
      <w:pPr>
        <w:pStyle w:val="TextBody"/>
        <w:bidi w:val="0"/>
        <w:spacing w:lineRule="auto" w:line="285" w:before="0" w:after="0"/>
        <w:ind w:left="0" w:right="0" w:hanging="0"/>
        <w:jc w:val="both"/>
        <w:rPr/>
      </w:pPr>
      <w:r>
        <w:rPr/>
        <w:t>​</w:t>
      </w:r>
    </w:p>
    <w:p>
      <w:pPr>
        <w:pStyle w:val="TextBody"/>
        <w:bidi w:val="0"/>
        <w:spacing w:lineRule="auto" w:line="285" w:before="0" w:after="120"/>
        <w:ind w:left="0" w:right="0" w:hanging="0"/>
        <w:jc w:val="left"/>
        <w:rPr>
          <w:rFonts w:ascii="Times New Roman;Times;serif" w:hAnsi="Times New Roman;Times;serif"/>
          <w:sz w:val="20"/>
        </w:rPr>
      </w:pPr>
      <w:bookmarkStart w:id="509" w:name="Tc_ct4CShIZ7E6ZPzGdq0Roqw_7_5"/>
      <w:bookmarkStart w:id="510" w:name="Tc_JFoiU4HPk0OYySuqzpfmCw_7_2"/>
      <w:bookmarkStart w:id="511" w:name="Tc_-JxyU-BvmUKKcR1dNfGu8w_7_0"/>
      <w:bookmarkStart w:id="512" w:name="Tc_7F0QhTl-vk6_Vm1SOfdE8g_6_0"/>
      <w:bookmarkStart w:id="513" w:name="Tc_wRng-InA0k-3RMihF88EDA_5_0"/>
      <w:bookmarkStart w:id="514" w:name="Tc_Uv_RYFAL1EOVvrzXVqUtRw_4_0"/>
      <w:bookmarkStart w:id="515" w:name="Tc__tWrsnwEvk-U8ER-xIllgw_3_5"/>
      <w:bookmarkStart w:id="516" w:name="Tc_pyg5QDHEuUmdfi1I8I5MdA_3_2"/>
      <w:bookmarkStart w:id="517" w:name="Tc_fE1biRqqvEq3GyweE_aYKQ_3_0"/>
      <w:bookmarkStart w:id="518" w:name="Tc_pVMber_Prk2pk9VDJLRbSg_2_5"/>
      <w:bookmarkStart w:id="519" w:name="Tc_qnh3zOnJxEiRpA8dMBf2fw_2_2"/>
      <w:bookmarkStart w:id="520" w:name="Tc_n8ZEZWqcP0yA-IVcXfHHlA_1_2"/>
      <w:bookmarkStart w:id="521" w:name="_176dfc8a_6180_4512_83de_b76ec7d9e12b"/>
      <w:bookmarkEnd w:id="509"/>
      <w:bookmarkEnd w:id="510"/>
      <w:bookmarkEnd w:id="511"/>
      <w:bookmarkEnd w:id="512"/>
      <w:bookmarkEnd w:id="513"/>
      <w:bookmarkEnd w:id="514"/>
      <w:bookmarkEnd w:id="515"/>
      <w:bookmarkEnd w:id="516"/>
      <w:bookmarkEnd w:id="517"/>
      <w:bookmarkEnd w:id="518"/>
      <w:bookmarkEnd w:id="519"/>
      <w:bookmarkEnd w:id="520"/>
      <w:bookmarkEnd w:id="521"/>
      <w:r>
        <w:rPr>
          <w:rFonts w:ascii="Times New Roman;Times;serif" w:hAnsi="Times New Roman;Times;serif"/>
          <w:b/>
          <w:i w:val="false"/>
          <w:caps w:val="false"/>
          <w:smallCaps w:val="false"/>
          <w:sz w:val="20"/>
        </w:rPr>
        <w:t xml:space="preserve">2. </w:t>
      </w:r>
      <w:r>
        <w:rPr>
          <w:rFonts w:ascii="Times New Roman;Times;serif" w:hAnsi="Times New Roman;Times;serif"/>
          <w:b/>
          <w:sz w:val="20"/>
        </w:rPr>
        <w:t>Prepaid expenses and other current assets</w:t>
      </w:r>
      <w:r>
        <w:rPr>
          <w:rFonts w:ascii="Times New Roman;Times;serif" w:hAnsi="Times New Roman;Times;serif"/>
          <w:sz w:val="20"/>
        </w:rPr>
        <w:t> </w:t>
      </w:r>
    </w:p>
    <w:p>
      <w:pPr>
        <w:pStyle w:val="TextBody"/>
        <w:bidi w:val="0"/>
        <w:spacing w:lineRule="auto" w:line="285" w:before="0" w:after="120"/>
        <w:ind w:left="0" w:right="0" w:hanging="0"/>
        <w:jc w:val="both"/>
        <w:rPr>
          <w:rFonts w:ascii="Times New Roman;Times;serif" w:hAnsi="Times New Roman;Times;serif"/>
          <w:sz w:val="20"/>
        </w:rPr>
      </w:pPr>
      <w:r>
        <w:rPr>
          <w:rFonts w:ascii="Times New Roman;Times;serif" w:hAnsi="Times New Roman;Times;serif"/>
          <w:sz w:val="20"/>
        </w:rPr>
        <w:t>Prepaid expenses and other current assets consist of the following (in thousands):</w:t>
      </w:r>
    </w:p>
    <w:tbl>
      <w:tblPr>
        <w:tblW w:w="5709" w:type="dxa"/>
        <w:jc w:val="left"/>
        <w:tblInd w:w="0" w:type="dxa"/>
        <w:tblLayout w:type="fixed"/>
        <w:tblCellMar>
          <w:top w:w="0" w:type="dxa"/>
          <w:left w:w="0" w:type="dxa"/>
          <w:bottom w:w="0" w:type="dxa"/>
          <w:right w:w="0" w:type="dxa"/>
        </w:tblCellMar>
      </w:tblPr>
      <w:tblGrid>
        <w:gridCol w:w="2521"/>
        <w:gridCol w:w="109"/>
        <w:gridCol w:w="415"/>
        <w:gridCol w:w="830"/>
        <w:gridCol w:w="109"/>
        <w:gridCol w:w="486"/>
        <w:gridCol w:w="1239"/>
      </w:tblGrid>
      <w:tr>
        <w:trPr/>
        <w:tc>
          <w:tcPr>
            <w:tcW w:w="2521"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9215" cy="175260"/>
                      <wp:effectExtent l="0" t="0" r="0" b="0"/>
                      <wp:wrapNone/>
                      <wp:docPr id="59" name="Frame5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41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263525" cy="175260"/>
                      <wp:effectExtent l="0" t="0" r="0" b="0"/>
                      <wp:wrapNone/>
                      <wp:docPr id="60" name="Frame59"/>
                      <a:graphic xmlns:a="http://schemas.openxmlformats.org/drawingml/2006/main">
                        <a:graphicData uri="http://schemas.microsoft.com/office/word/2010/wordprocessingShape">
                          <wps:wsp>
                            <wps:cNvSpPr txBox="1"/>
                            <wps:spPr>
                              <a:xfrm>
                                <a:off x="0" y="0"/>
                                <a:ext cx="26352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83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527050" cy="175260"/>
                      <wp:effectExtent l="0" t="0" r="0" b="0"/>
                      <wp:wrapNone/>
                      <wp:docPr id="61" name="Frame60"/>
                      <a:graphic xmlns:a="http://schemas.openxmlformats.org/drawingml/2006/main">
                        <a:graphicData uri="http://schemas.microsoft.com/office/word/2010/wordprocessingShape">
                          <wps:wsp>
                            <wps:cNvSpPr txBox="1"/>
                            <wps:spPr>
                              <a:xfrm>
                                <a:off x="0" y="0"/>
                                <a:ext cx="52705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9215" cy="175260"/>
                      <wp:effectExtent l="0" t="0" r="0" b="0"/>
                      <wp:wrapNone/>
                      <wp:docPr id="62" name="Frame6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4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308610" cy="175260"/>
                      <wp:effectExtent l="0" t="0" r="0" b="0"/>
                      <wp:wrapNone/>
                      <wp:docPr id="63" name="Frame62"/>
                      <a:graphic xmlns:a="http://schemas.openxmlformats.org/drawingml/2006/main">
                        <a:graphicData uri="http://schemas.microsoft.com/office/word/2010/wordprocessingShape">
                          <wps:wsp>
                            <wps:cNvSpPr txBox="1"/>
                            <wps:spPr>
                              <a:xfrm>
                                <a:off x="0" y="0"/>
                                <a:ext cx="3086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23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786765" cy="175260"/>
                      <wp:effectExtent l="0" t="0" r="0" b="0"/>
                      <wp:wrapNone/>
                      <wp:docPr id="64" name="Frame63"/>
                      <a:graphic xmlns:a="http://schemas.openxmlformats.org/drawingml/2006/main">
                        <a:graphicData uri="http://schemas.microsoft.com/office/word/2010/wordprocessingShape">
                          <wps:wsp>
                            <wps:cNvSpPr txBox="1"/>
                            <wps:spPr>
                              <a:xfrm>
                                <a:off x="0" y="0"/>
                                <a:ext cx="78676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1.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r>
      <w:tr>
        <w:trPr/>
        <w:tc>
          <w:tcPr>
            <w:tcW w:w="2521" w:type="dxa"/>
            <w:tcBorders/>
            <w:vAlign w:val="center"/>
          </w:tcPr>
          <w:p>
            <w:pPr>
              <w:pStyle w:val="TableContents"/>
              <w:bidi w:val="0"/>
              <w:spacing w:lineRule="auto" w:line="285" w:before="0" w:after="0"/>
              <w:ind w:left="0" w:right="0" w:hanging="0"/>
              <w:jc w:val="center"/>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3079" w:type="dxa"/>
            <w:gridSpan w:val="5"/>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As of</w:t>
            </w:r>
          </w:p>
        </w:tc>
      </w:tr>
      <w:tr>
        <w:trPr/>
        <w:tc>
          <w:tcPr>
            <w:tcW w:w="2521" w:type="dxa"/>
            <w:tcBorders>
              <w:bottom w:val="single" w:sz="2" w:space="0" w:color="000000"/>
            </w:tcBorders>
            <w:tcMar>
              <w:bottom w:w="28" w:type="dxa"/>
            </w:tcMar>
            <w:vAlign w:val="center"/>
          </w:tcPr>
          <w:p>
            <w:pPr>
              <w:pStyle w:val="TableContents"/>
              <w:bidi w:val="0"/>
              <w:spacing w:lineRule="auto" w:line="285" w:before="0" w:after="0"/>
              <w:ind w:left="0" w:right="0" w:hanging="0"/>
              <w:jc w:val="center"/>
              <w:rPr/>
            </w:pPr>
            <w:r>
              <w:rPr/>
              <w:t>​</w:t>
            </w:r>
          </w:p>
        </w:tc>
        <w:tc>
          <w:tcPr>
            <w:tcW w:w="109"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1245"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June 30, 2026</w:t>
            </w:r>
          </w:p>
        </w:tc>
        <w:tc>
          <w:tcPr>
            <w:tcW w:w="109"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1725"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December 31, 2025</w:t>
            </w:r>
          </w:p>
        </w:tc>
      </w:tr>
      <w:tr>
        <w:trPr/>
        <w:tc>
          <w:tcPr>
            <w:tcW w:w="2521" w:type="dxa"/>
            <w:tcBorders/>
            <w:shd w:fill="CCEEFF" w:val="clear"/>
            <w:vAlign w:val="center"/>
          </w:tcPr>
          <w:p>
            <w:pPr>
              <w:pStyle w:val="TableContents"/>
              <w:bidi w:val="0"/>
              <w:spacing w:lineRule="auto" w:line="285" w:before="0" w:after="0"/>
              <w:ind w:left="0" w:right="0" w:hanging="0"/>
              <w:jc w:val="both"/>
              <w:rPr>
                <w:rFonts w:ascii="Times New Roman;Times;serif" w:hAnsi="Times New Roman;Times;serif"/>
                <w:sz w:val="20"/>
              </w:rPr>
            </w:pPr>
            <w:r>
              <w:rPr>
                <w:rFonts w:ascii="Times New Roman;Times;serif" w:hAnsi="Times New Roman;Times;serif"/>
                <w:sz w:val="20"/>
              </w:rPr>
              <w:t>Insurance</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415"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30"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224</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48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39"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7</w:t>
            </w:r>
          </w:p>
        </w:tc>
      </w:tr>
      <w:tr>
        <w:trPr/>
        <w:tc>
          <w:tcPr>
            <w:tcW w:w="2521" w:type="dxa"/>
            <w:tcBorders/>
            <w:vAlign w:val="center"/>
          </w:tcPr>
          <w:p>
            <w:pPr>
              <w:pStyle w:val="TableContents"/>
              <w:bidi w:val="0"/>
              <w:spacing w:lineRule="auto" w:line="285" w:before="0" w:after="0"/>
              <w:ind w:left="0" w:right="0" w:hanging="0"/>
              <w:jc w:val="both"/>
              <w:rPr>
                <w:rFonts w:ascii="Times New Roman;Times;serif" w:hAnsi="Times New Roman;Times;serif"/>
                <w:sz w:val="20"/>
              </w:rPr>
            </w:pPr>
            <w:r>
              <w:rPr>
                <w:rFonts w:ascii="Times New Roman;Times;serif" w:hAnsi="Times New Roman;Times;serif"/>
                <w:sz w:val="20"/>
              </w:rPr>
              <w:t>Deposits</w:t>
            </w:r>
          </w:p>
        </w:tc>
        <w:tc>
          <w:tcPr>
            <w:tcW w:w="109" w:type="dxa"/>
            <w:tcBorders/>
            <w:vAlign w:val="center"/>
          </w:tcPr>
          <w:p>
            <w:pPr>
              <w:pStyle w:val="TableContents"/>
              <w:bidi w:val="0"/>
              <w:spacing w:lineRule="auto" w:line="285" w:before="0" w:after="0"/>
              <w:ind w:left="0" w:right="0" w:hanging="0"/>
              <w:jc w:val="left"/>
              <w:rPr/>
            </w:pPr>
            <w:r>
              <w:rPr/>
              <w:t>​</w:t>
            </w:r>
          </w:p>
        </w:tc>
        <w:tc>
          <w:tcPr>
            <w:tcW w:w="415" w:type="dxa"/>
            <w:tcBorders/>
            <w:vAlign w:val="center"/>
          </w:tcPr>
          <w:p>
            <w:pPr>
              <w:pStyle w:val="TableContents"/>
              <w:bidi w:val="0"/>
              <w:spacing w:lineRule="auto" w:line="285" w:before="0" w:after="0"/>
              <w:ind w:left="0" w:right="0" w:hanging="0"/>
              <w:jc w:val="left"/>
              <w:rPr/>
            </w:pPr>
            <w:r>
              <w:rPr/>
              <w:t>​</w:t>
            </w:r>
          </w:p>
        </w:tc>
        <w:tc>
          <w:tcPr>
            <w:tcW w:w="830"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w:t>
            </w:r>
          </w:p>
        </w:tc>
        <w:tc>
          <w:tcPr>
            <w:tcW w:w="109" w:type="dxa"/>
            <w:tcBorders/>
            <w:vAlign w:val="center"/>
          </w:tcPr>
          <w:p>
            <w:pPr>
              <w:pStyle w:val="TableContents"/>
              <w:bidi w:val="0"/>
              <w:spacing w:lineRule="auto" w:line="285" w:before="0" w:after="0"/>
              <w:ind w:left="0" w:right="0" w:hanging="0"/>
              <w:jc w:val="left"/>
              <w:rPr/>
            </w:pPr>
            <w:r>
              <w:rPr/>
              <w:t>​</w:t>
            </w:r>
          </w:p>
        </w:tc>
        <w:tc>
          <w:tcPr>
            <w:tcW w:w="486" w:type="dxa"/>
            <w:tcBorders/>
            <w:vAlign w:val="center"/>
          </w:tcPr>
          <w:p>
            <w:pPr>
              <w:pStyle w:val="TableContents"/>
              <w:bidi w:val="0"/>
              <w:spacing w:lineRule="auto" w:line="285" w:before="0" w:after="0"/>
              <w:ind w:left="0" w:right="0" w:hanging="0"/>
              <w:jc w:val="left"/>
              <w:rPr/>
            </w:pPr>
            <w:r>
              <w:rPr/>
              <w:t>​</w:t>
            </w:r>
          </w:p>
        </w:tc>
        <w:tc>
          <w:tcPr>
            <w:tcW w:w="1239"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32</w:t>
            </w:r>
          </w:p>
        </w:tc>
      </w:tr>
      <w:tr>
        <w:trPr/>
        <w:tc>
          <w:tcPr>
            <w:tcW w:w="2521" w:type="dxa"/>
            <w:tcBorders/>
            <w:shd w:fill="CCEEFF" w:val="clear"/>
            <w:vAlign w:val="center"/>
          </w:tcPr>
          <w:p>
            <w:pPr>
              <w:pStyle w:val="TableContents"/>
              <w:bidi w:val="0"/>
              <w:spacing w:lineRule="auto" w:line="285" w:before="0" w:after="0"/>
              <w:ind w:left="0" w:right="0" w:hanging="0"/>
              <w:jc w:val="both"/>
              <w:rPr>
                <w:rFonts w:ascii="Times New Roman;Times;serif" w:hAnsi="Times New Roman;Times;serif"/>
                <w:sz w:val="20"/>
              </w:rPr>
            </w:pPr>
            <w:r>
              <w:rPr>
                <w:rFonts w:ascii="Times New Roman;Times;serif" w:hAnsi="Times New Roman;Times;serif"/>
                <w:sz w:val="20"/>
              </w:rPr>
              <w:t>Deferred equity offering costs</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415" w:type="dxa"/>
            <w:tcBorders/>
            <w:shd w:fill="CCEEFF" w:val="clear"/>
            <w:vAlign w:val="center"/>
          </w:tcPr>
          <w:p>
            <w:pPr>
              <w:pStyle w:val="TableContents"/>
              <w:bidi w:val="0"/>
              <w:spacing w:lineRule="auto" w:line="285" w:before="0" w:after="0"/>
              <w:ind w:left="0" w:right="0" w:hanging="0"/>
              <w:jc w:val="left"/>
              <w:rPr/>
            </w:pPr>
            <w:r>
              <w:rPr/>
              <w:t>​</w:t>
            </w:r>
          </w:p>
        </w:tc>
        <w:tc>
          <w:tcPr>
            <w:tcW w:w="830"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86</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486" w:type="dxa"/>
            <w:tcBorders/>
            <w:shd w:fill="CCEEFF" w:val="clear"/>
            <w:vAlign w:val="center"/>
          </w:tcPr>
          <w:p>
            <w:pPr>
              <w:pStyle w:val="TableContents"/>
              <w:bidi w:val="0"/>
              <w:spacing w:lineRule="auto" w:line="285" w:before="0" w:after="0"/>
              <w:ind w:left="0" w:right="0" w:hanging="0"/>
              <w:jc w:val="left"/>
              <w:rPr/>
            </w:pPr>
            <w:r>
              <w:rPr/>
              <w:t>​</w:t>
            </w:r>
          </w:p>
        </w:tc>
        <w:tc>
          <w:tcPr>
            <w:tcW w:w="1239"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511</w:t>
            </w:r>
          </w:p>
        </w:tc>
      </w:tr>
      <w:tr>
        <w:trPr/>
        <w:tc>
          <w:tcPr>
            <w:tcW w:w="2521" w:type="dxa"/>
            <w:tcBorders>
              <w:bottom w:val="single" w:sz="2" w:space="0" w:color="000000"/>
            </w:tcBorders>
            <w:tcMar>
              <w:bottom w:w="28" w:type="dxa"/>
            </w:tcMar>
            <w:vAlign w:val="center"/>
          </w:tcPr>
          <w:p>
            <w:pPr>
              <w:pStyle w:val="TableContents"/>
              <w:bidi w:val="0"/>
              <w:spacing w:lineRule="auto" w:line="285" w:before="0" w:after="0"/>
              <w:ind w:left="0" w:right="0" w:hanging="0"/>
              <w:jc w:val="both"/>
              <w:rPr>
                <w:rFonts w:ascii="Times New Roman;Times;serif" w:hAnsi="Times New Roman;Times;serif"/>
                <w:sz w:val="20"/>
              </w:rPr>
            </w:pPr>
            <w:r>
              <w:rPr>
                <w:rFonts w:ascii="Times New Roman;Times;serif" w:hAnsi="Times New Roman;Times;serif"/>
                <w:sz w:val="20"/>
              </w:rPr>
              <w:t>Other prepaid expenses</w:t>
            </w:r>
          </w:p>
        </w:tc>
        <w:tc>
          <w:tcPr>
            <w:tcW w:w="109"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415"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 </w:t>
            </w:r>
          </w:p>
        </w:tc>
        <w:tc>
          <w:tcPr>
            <w:tcW w:w="830"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121</w:t>
            </w:r>
          </w:p>
        </w:tc>
        <w:tc>
          <w:tcPr>
            <w:tcW w:w="109"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486"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 </w:t>
            </w:r>
          </w:p>
        </w:tc>
        <w:tc>
          <w:tcPr>
            <w:tcW w:w="1239"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47</w:t>
            </w:r>
          </w:p>
        </w:tc>
      </w:tr>
      <w:tr>
        <w:trPr/>
        <w:tc>
          <w:tcPr>
            <w:tcW w:w="2521"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both"/>
              <w:rPr>
                <w:rFonts w:ascii="Times New Roman;Times;serif" w:hAnsi="Times New Roman;Times;serif"/>
                <w:sz w:val="20"/>
              </w:rPr>
            </w:pPr>
            <w:r>
              <w:rPr>
                <w:rFonts w:ascii="Times New Roman;Times;serif" w:hAnsi="Times New Roman;Times;serif"/>
                <w:sz w:val="20"/>
              </w:rPr>
              <w:t>Total</w:t>
            </w:r>
          </w:p>
        </w:tc>
        <w:tc>
          <w:tcPr>
            <w:tcW w:w="109"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415"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30"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433</w:t>
            </w:r>
          </w:p>
        </w:tc>
        <w:tc>
          <w:tcPr>
            <w:tcW w:w="109"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486"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39" w:type="dxa"/>
            <w:tcBorders>
              <w:bottom w:val="double" w:sz="6" w:space="0" w:color="000000"/>
            </w:tcBorders>
            <w:shd w:fill="CCEEFF" w:val="clear"/>
            <w:tcMar>
              <w:bottom w:w="28" w:type="dxa"/>
            </w:tcMar>
            <w:vAlign w:val="center"/>
          </w:tcPr>
          <w:p>
            <w:pPr>
              <w:pStyle w:val="TableContents"/>
              <w:bidi w:val="0"/>
              <w:spacing w:lineRule="auto" w:line="285" w:before="0" w:after="0"/>
              <w:ind w:left="0" w:right="70" w:hanging="0"/>
              <w:jc w:val="right"/>
              <w:rPr>
                <w:rFonts w:ascii="Times New Roman;Times;serif" w:hAnsi="Times New Roman;Times;serif"/>
                <w:sz w:val="20"/>
              </w:rPr>
            </w:pPr>
            <w:r>
              <w:rPr>
                <w:rFonts w:ascii="Times New Roman;Times;serif" w:hAnsi="Times New Roman;Times;serif"/>
                <w:sz w:val="20"/>
              </w:rPr>
              <w:t>597</w:t>
            </w:r>
          </w:p>
        </w:tc>
      </w:tr>
    </w:tbl>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pPr>
      <w:r>
        <w:rPr/>
        <w:t>​</w:t>
      </w:r>
    </w:p>
    <w:p>
      <w:pPr>
        <w:pStyle w:val="TextBody"/>
        <w:bidi w:val="0"/>
        <w:spacing w:lineRule="auto" w:line="285" w:before="0" w:after="120"/>
        <w:ind w:left="0" w:right="0" w:hanging="0"/>
        <w:jc w:val="left"/>
        <w:rPr>
          <w:rFonts w:ascii="Times New Roman;Times;serif" w:hAnsi="Times New Roman;Times;serif"/>
          <w:sz w:val="20"/>
        </w:rPr>
      </w:pPr>
      <w:bookmarkStart w:id="522" w:name="Tc_KbvBE7gWsE-Z79Eg7-WzyA_5_5"/>
      <w:bookmarkStart w:id="523" w:name="Tc_bQyv_7FL0EOSgGL82GnijQ_5_2"/>
      <w:bookmarkStart w:id="524" w:name="Tc_cIgSTKH7sUe7VRIwnOixSA_5_0"/>
      <w:bookmarkStart w:id="525" w:name="Tc_MrvA3uYH80G9982iMJrncw_4_0"/>
      <w:bookmarkStart w:id="526" w:name="Tc_KY-lP_3MbUqxQpPFDS36hw_3_5"/>
      <w:bookmarkStart w:id="527" w:name="Tc_OsAd9xrIHUuCrIu_CuiSNg_3_2"/>
      <w:bookmarkStart w:id="528" w:name="Tc_hfAXb9gEtUecKMYoDhTv2Q_3_0"/>
      <w:bookmarkStart w:id="529" w:name="Tc_3lSiP2jkB0qzyn2TT7VMdg_2_5"/>
      <w:bookmarkStart w:id="530" w:name="Tc_MRgJ4fDDlE2ElwMzGyX6_A_2_2"/>
      <w:bookmarkStart w:id="531" w:name="Tc_bmx2pFOgikW-JJS8mnBjsw_1_2"/>
      <w:bookmarkStart w:id="532" w:name="_459406d4_ba61_4ec9_aa25_6f4ef913264a"/>
      <w:bookmarkEnd w:id="522"/>
      <w:bookmarkEnd w:id="523"/>
      <w:bookmarkEnd w:id="524"/>
      <w:bookmarkEnd w:id="525"/>
      <w:bookmarkEnd w:id="526"/>
      <w:bookmarkEnd w:id="527"/>
      <w:bookmarkEnd w:id="528"/>
      <w:bookmarkEnd w:id="529"/>
      <w:bookmarkEnd w:id="530"/>
      <w:bookmarkEnd w:id="531"/>
      <w:bookmarkEnd w:id="532"/>
      <w:r>
        <w:rPr>
          <w:rFonts w:ascii="Times New Roman;Times;serif" w:hAnsi="Times New Roman;Times;serif"/>
          <w:b/>
          <w:i w:val="false"/>
          <w:caps w:val="false"/>
          <w:smallCaps w:val="false"/>
          <w:sz w:val="20"/>
        </w:rPr>
        <w:t xml:space="preserve">3. </w:t>
      </w:r>
      <w:r>
        <w:rPr>
          <w:rFonts w:ascii="Times New Roman;Times;serif" w:hAnsi="Times New Roman;Times;serif"/>
          <w:b/>
          <w:sz w:val="20"/>
        </w:rPr>
        <w:t>Property and equipment, net</w:t>
      </w:r>
    </w:p>
    <w:p>
      <w:pPr>
        <w:pStyle w:val="TextBody"/>
        <w:bidi w:val="0"/>
        <w:spacing w:lineRule="auto" w:line="285" w:before="0" w:after="120"/>
        <w:ind w:left="0" w:right="0" w:hanging="0"/>
        <w:jc w:val="both"/>
        <w:rPr>
          <w:rFonts w:ascii="Times New Roman;Times;serif" w:hAnsi="Times New Roman;Times;serif"/>
          <w:sz w:val="20"/>
        </w:rPr>
      </w:pPr>
      <w:r>
        <w:rPr>
          <w:rFonts w:ascii="Times New Roman;Times;serif" w:hAnsi="Times New Roman;Times;serif"/>
          <w:sz w:val="20"/>
        </w:rPr>
        <w:t xml:space="preserve">Property and equipment, net consist of the following </w:t>
      </w:r>
      <w:r>
        <w:rPr>
          <w:rFonts w:ascii="Times New Roman;Times;serif" w:hAnsi="Times New Roman;Times;serif"/>
          <w:sz w:val="20"/>
          <w:shd w:fill="FFFFFF" w:val="clear"/>
        </w:rPr>
        <w:t>(in thousands)</w:t>
      </w:r>
      <w:r>
        <w:rPr>
          <w:rFonts w:ascii="Times New Roman;Times;serif" w:hAnsi="Times New Roman;Times;serif"/>
          <w:sz w:val="20"/>
        </w:rPr>
        <w:t>:</w:t>
      </w:r>
    </w:p>
    <w:tbl>
      <w:tblPr>
        <w:tblW w:w="5814" w:type="dxa"/>
        <w:jc w:val="left"/>
        <w:tblInd w:w="0" w:type="dxa"/>
        <w:tblLayout w:type="fixed"/>
        <w:tblCellMar>
          <w:top w:w="0" w:type="dxa"/>
          <w:left w:w="0" w:type="dxa"/>
          <w:bottom w:w="0" w:type="dxa"/>
          <w:right w:w="0" w:type="dxa"/>
        </w:tblCellMar>
      </w:tblPr>
      <w:tblGrid>
        <w:gridCol w:w="2626"/>
        <w:gridCol w:w="109"/>
        <w:gridCol w:w="406"/>
        <w:gridCol w:w="839"/>
        <w:gridCol w:w="109"/>
        <w:gridCol w:w="565"/>
        <w:gridCol w:w="1160"/>
      </w:tblGrid>
      <w:tr>
        <w:trPr/>
        <w:tc>
          <w:tcPr>
            <w:tcW w:w="2626"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9215" cy="175260"/>
                      <wp:effectExtent l="0" t="0" r="0" b="0"/>
                      <wp:wrapNone/>
                      <wp:docPr id="65" name="Frame6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4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257810" cy="175260"/>
                      <wp:effectExtent l="0" t="0" r="0" b="0"/>
                      <wp:wrapNone/>
                      <wp:docPr id="66" name="Frame65"/>
                      <a:graphic xmlns:a="http://schemas.openxmlformats.org/drawingml/2006/main">
                        <a:graphicData uri="http://schemas.microsoft.com/office/word/2010/wordprocessingShape">
                          <wps:wsp>
                            <wps:cNvSpPr txBox="1"/>
                            <wps:spPr>
                              <a:xfrm>
                                <a:off x="0" y="0"/>
                                <a:ext cx="2578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83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532765" cy="175260"/>
                      <wp:effectExtent l="0" t="0" r="0" b="0"/>
                      <wp:wrapNone/>
                      <wp:docPr id="67" name="Frame66"/>
                      <a:graphic xmlns:a="http://schemas.openxmlformats.org/drawingml/2006/main">
                        <a:graphicData uri="http://schemas.microsoft.com/office/word/2010/wordprocessingShape">
                          <wps:wsp>
                            <wps:cNvSpPr txBox="1"/>
                            <wps:spPr>
                              <a:xfrm>
                                <a:off x="0" y="0"/>
                                <a:ext cx="53276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9215" cy="175260"/>
                      <wp:effectExtent l="0" t="0" r="0" b="0"/>
                      <wp:wrapNone/>
                      <wp:docPr id="68" name="Frame6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56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358775" cy="175260"/>
                      <wp:effectExtent l="0" t="0" r="0" b="0"/>
                      <wp:wrapNone/>
                      <wp:docPr id="69" name="Frame68"/>
                      <a:graphic xmlns:a="http://schemas.openxmlformats.org/drawingml/2006/main">
                        <a:graphicData uri="http://schemas.microsoft.com/office/word/2010/wordprocessingShape">
                          <wps:wsp>
                            <wps:cNvSpPr txBox="1"/>
                            <wps:spPr>
                              <a:xfrm>
                                <a:off x="0" y="0"/>
                                <a:ext cx="35877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16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736600" cy="175260"/>
                      <wp:effectExtent l="0" t="0" r="0" b="0"/>
                      <wp:wrapNone/>
                      <wp:docPr id="70" name="Frame69"/>
                      <a:graphic xmlns:a="http://schemas.openxmlformats.org/drawingml/2006/main">
                        <a:graphicData uri="http://schemas.microsoft.com/office/word/2010/wordprocessingShape">
                          <wps:wsp>
                            <wps:cNvSpPr txBox="1"/>
                            <wps:spPr>
                              <a:xfrm>
                                <a:off x="0" y="0"/>
                                <a:ext cx="73660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r>
      <w:tr>
        <w:trPr/>
        <w:tc>
          <w:tcPr>
            <w:tcW w:w="2626" w:type="dxa"/>
            <w:tcBorders/>
            <w:vAlign w:val="center"/>
          </w:tcPr>
          <w:p>
            <w:pPr>
              <w:pStyle w:val="TableContents"/>
              <w:bidi w:val="0"/>
              <w:spacing w:lineRule="auto" w:line="285" w:before="0" w:after="0"/>
              <w:ind w:left="0" w:right="0" w:hanging="0"/>
              <w:jc w:val="center"/>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3079" w:type="dxa"/>
            <w:gridSpan w:val="5"/>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As of</w:t>
            </w:r>
          </w:p>
        </w:tc>
      </w:tr>
      <w:tr>
        <w:trPr/>
        <w:tc>
          <w:tcPr>
            <w:tcW w:w="2626" w:type="dxa"/>
            <w:tcBorders>
              <w:bottom w:val="single" w:sz="2" w:space="0" w:color="000000"/>
            </w:tcBorders>
            <w:tcMar>
              <w:bottom w:w="28" w:type="dxa"/>
            </w:tcMar>
            <w:vAlign w:val="center"/>
          </w:tcPr>
          <w:p>
            <w:pPr>
              <w:pStyle w:val="TableContents"/>
              <w:bidi w:val="0"/>
              <w:spacing w:lineRule="auto" w:line="285" w:before="0" w:after="0"/>
              <w:ind w:left="0" w:right="0" w:hanging="0"/>
              <w:jc w:val="center"/>
              <w:rPr/>
            </w:pPr>
            <w:r>
              <w:rPr/>
              <w:t>​</w:t>
            </w:r>
          </w:p>
        </w:tc>
        <w:tc>
          <w:tcPr>
            <w:tcW w:w="109"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1245"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June 30, 2026</w:t>
            </w:r>
          </w:p>
        </w:tc>
        <w:tc>
          <w:tcPr>
            <w:tcW w:w="109"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1725"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December 31, 2025</w:t>
            </w:r>
          </w:p>
        </w:tc>
      </w:tr>
      <w:tr>
        <w:trPr/>
        <w:tc>
          <w:tcPr>
            <w:tcW w:w="2626" w:type="dxa"/>
            <w:tcBorders/>
            <w:shd w:fill="CCEEFF" w:val="clear"/>
            <w:vAlign w:val="center"/>
          </w:tcPr>
          <w:p>
            <w:pPr>
              <w:pStyle w:val="TableContents"/>
              <w:bidi w:val="0"/>
              <w:spacing w:lineRule="auto" w:line="285" w:before="0" w:after="0"/>
              <w:ind w:left="0" w:right="0" w:hanging="0"/>
              <w:jc w:val="both"/>
              <w:rPr>
                <w:rFonts w:ascii="Times New Roman;Times;serif" w:hAnsi="Times New Roman;Times;serif"/>
                <w:sz w:val="20"/>
              </w:rPr>
            </w:pPr>
            <w:r>
              <w:rPr>
                <w:rFonts w:ascii="Times New Roman;Times;serif" w:hAnsi="Times New Roman;Times;serif"/>
                <w:sz w:val="20"/>
              </w:rPr>
              <w:t>Office equipment</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40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39"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90</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565"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60"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90</w:t>
            </w:r>
          </w:p>
        </w:tc>
      </w:tr>
      <w:tr>
        <w:trPr/>
        <w:tc>
          <w:tcPr>
            <w:tcW w:w="2626" w:type="dxa"/>
            <w:tcBorders>
              <w:bottom w:val="single" w:sz="2" w:space="0" w:color="000000"/>
            </w:tcBorders>
            <w:tcMar>
              <w:bottom w:w="28" w:type="dxa"/>
            </w:tcMar>
            <w:vAlign w:val="center"/>
          </w:tcPr>
          <w:p>
            <w:pPr>
              <w:pStyle w:val="TableContents"/>
              <w:bidi w:val="0"/>
              <w:spacing w:lineRule="auto" w:line="285" w:before="0" w:after="0"/>
              <w:ind w:left="0" w:right="0" w:hanging="0"/>
              <w:jc w:val="both"/>
              <w:rPr>
                <w:rFonts w:ascii="Times New Roman;Times;serif" w:hAnsi="Times New Roman;Times;serif"/>
                <w:sz w:val="20"/>
              </w:rPr>
            </w:pPr>
            <w:r>
              <w:rPr>
                <w:rFonts w:ascii="Times New Roman;Times;serif" w:hAnsi="Times New Roman;Times;serif"/>
                <w:sz w:val="20"/>
              </w:rPr>
              <w:t>Less accumulated depreciation</w:t>
            </w:r>
          </w:p>
        </w:tc>
        <w:tc>
          <w:tcPr>
            <w:tcW w:w="109"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406"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 </w:t>
            </w:r>
          </w:p>
        </w:tc>
        <w:tc>
          <w:tcPr>
            <w:tcW w:w="839"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(82)</w:t>
            </w:r>
          </w:p>
        </w:tc>
        <w:tc>
          <w:tcPr>
            <w:tcW w:w="109"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565"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 </w:t>
            </w:r>
          </w:p>
        </w:tc>
        <w:tc>
          <w:tcPr>
            <w:tcW w:w="1160"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(73)</w:t>
            </w:r>
          </w:p>
        </w:tc>
      </w:tr>
      <w:tr>
        <w:trPr/>
        <w:tc>
          <w:tcPr>
            <w:tcW w:w="2626"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both"/>
              <w:rPr>
                <w:rFonts w:ascii="Times New Roman;Times;serif" w:hAnsi="Times New Roman;Times;serif"/>
                <w:sz w:val="20"/>
              </w:rPr>
            </w:pPr>
            <w:r>
              <w:rPr>
                <w:rFonts w:ascii="Times New Roman;Times;serif" w:hAnsi="Times New Roman;Times;serif"/>
                <w:sz w:val="20"/>
              </w:rPr>
              <w:t>Property and equipment, net</w:t>
            </w:r>
          </w:p>
        </w:tc>
        <w:tc>
          <w:tcPr>
            <w:tcW w:w="109"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406"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39"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8</w:t>
            </w:r>
          </w:p>
        </w:tc>
        <w:tc>
          <w:tcPr>
            <w:tcW w:w="109"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565"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60" w:type="dxa"/>
            <w:tcBorders>
              <w:bottom w:val="double" w:sz="6" w:space="0" w:color="000000"/>
            </w:tcBorders>
            <w:shd w:fill="CCEEFF" w:val="clear"/>
            <w:tcMar>
              <w:bottom w:w="28" w:type="dxa"/>
            </w:tcMar>
            <w:vAlign w:val="center"/>
          </w:tcPr>
          <w:p>
            <w:pPr>
              <w:pStyle w:val="TableContents"/>
              <w:bidi w:val="0"/>
              <w:spacing w:lineRule="auto" w:line="285" w:before="0" w:after="0"/>
              <w:ind w:left="0" w:right="70" w:hanging="0"/>
              <w:jc w:val="right"/>
              <w:rPr>
                <w:rFonts w:ascii="Times New Roman;Times;serif" w:hAnsi="Times New Roman;Times;serif"/>
                <w:sz w:val="20"/>
              </w:rPr>
            </w:pPr>
            <w:r>
              <w:rPr>
                <w:rFonts w:ascii="Times New Roman;Times;serif" w:hAnsi="Times New Roman;Times;serif"/>
                <w:sz w:val="20"/>
              </w:rPr>
              <w:t>17</w:t>
            </w:r>
          </w:p>
        </w:tc>
      </w:tr>
    </w:tbl>
    <w:p>
      <w:pPr>
        <w:pStyle w:val="TextBody"/>
        <w:bidi w:val="0"/>
        <w:spacing w:lineRule="auto" w:line="285" w:before="0" w:after="0"/>
        <w:ind w:left="0" w:right="0" w:hanging="0"/>
        <w:jc w:val="both"/>
        <w:rPr/>
      </w:pPr>
      <w:r>
        <w:rPr/>
        <w:t>​</w:t>
      </w:r>
    </w:p>
    <w:p>
      <w:pPr>
        <w:pStyle w:val="TextBody"/>
        <w:bidi w:val="0"/>
        <w:spacing w:lineRule="auto" w:line="285" w:before="160" w:after="0"/>
        <w:ind w:left="0" w:right="0" w:hanging="0"/>
        <w:jc w:val="both"/>
        <w:rPr>
          <w:rFonts w:ascii="Times New Roman;Times;serif" w:hAnsi="Times New Roman;Times;serif"/>
          <w:sz w:val="20"/>
        </w:rPr>
      </w:pPr>
      <w:r>
        <w:rPr>
          <w:rFonts w:ascii="Times New Roman;Times;serif" w:hAnsi="Times New Roman;Times;serif"/>
          <w:sz w:val="20"/>
        </w:rPr>
        <w:t>We recorded depreciation expense, which was included in G&amp;A operating expenses in the accompanying condensed consolidated statements of operations, of $4 thousand and $9 thousand for the three and six months ended June 30, 2026, respectively, and $5 thousand and $9 thousand for the three and six months ended June 30, 2025, respectively.</w:t>
      </w:r>
    </w:p>
    <w:p>
      <w:pPr>
        <w:pStyle w:val="TextBody"/>
        <w:bidi w:val="0"/>
        <w:spacing w:lineRule="auto" w:line="285" w:before="0" w:after="0"/>
        <w:ind w:left="0" w:right="0" w:hanging="0"/>
        <w:jc w:val="both"/>
        <w:rPr/>
      </w:pPr>
      <w:r>
        <w:rPr/>
        <w:t>​</w:t>
      </w:r>
    </w:p>
    <w:p>
      <w:pPr>
        <w:pStyle w:val="TextBody"/>
        <w:bidi w:val="0"/>
        <w:spacing w:lineRule="auto" w:line="285" w:before="0" w:after="12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 xml:space="preserve">4. </w:t>
      </w:r>
      <w:r>
        <w:rPr>
          <w:rFonts w:ascii="Times New Roman;Times;serif" w:hAnsi="Times New Roman;Times;serif"/>
          <w:b/>
          <w:sz w:val="20"/>
        </w:rPr>
        <w:t>Current liabilities</w:t>
      </w:r>
    </w:p>
    <w:p>
      <w:pPr>
        <w:pStyle w:val="TextBody"/>
        <w:bidi w:val="0"/>
        <w:spacing w:lineRule="auto" w:line="285" w:before="0" w:after="120"/>
        <w:ind w:left="0" w:right="0" w:hanging="0"/>
        <w:jc w:val="left"/>
        <w:rPr>
          <w:rFonts w:ascii="Times New Roman;Times;serif" w:hAnsi="Times New Roman;Times;serif"/>
          <w:i/>
          <w:sz w:val="20"/>
        </w:rPr>
      </w:pPr>
      <w:r>
        <w:rPr>
          <w:rFonts w:ascii="Times New Roman;Times;serif" w:hAnsi="Times New Roman;Times;serif"/>
          <w:i/>
          <w:sz w:val="20"/>
        </w:rPr>
        <w:t>Clinical trial accrued liabilities</w:t>
      </w:r>
    </w:p>
    <w:p>
      <w:pPr>
        <w:pStyle w:val="TextBody"/>
        <w:bidi w:val="0"/>
        <w:spacing w:lineRule="auto" w:line="285" w:before="0" w:after="120"/>
        <w:ind w:left="0" w:right="0" w:hanging="0"/>
        <w:jc w:val="both"/>
        <w:rPr>
          <w:rFonts w:ascii="Times New Roman;Times;serif" w:hAnsi="Times New Roman;Times;serif"/>
          <w:sz w:val="20"/>
        </w:rPr>
      </w:pPr>
      <w:r>
        <w:rPr>
          <w:rFonts w:ascii="Times New Roman;Times;serif" w:hAnsi="Times New Roman;Times;serif"/>
          <w:sz w:val="20"/>
        </w:rPr>
        <w:t>Clinical trial accrued liabilities was $2.8 million as of June 30, 2026 as compared to $0.1 million as of December 31, 2025. The increase of $2.7 million was due to timing of when the t</w:t>
      </w:r>
      <w:r>
        <w:rPr>
          <w:rFonts w:ascii="Times New Roman;Times;serif" w:hAnsi="Times New Roman;Times;serif"/>
          <w:sz w:val="20"/>
          <w:shd w:fill="FFFFFF" w:val="clear"/>
        </w:rPr>
        <w:t xml:space="preserve">hird-party clinical research organization (“CRO”) invoices us for services performed by the CRO. Additionally, the overall increase in clinical trial accrued liabilities reflects </w:t>
      </w:r>
      <w:r>
        <w:rPr>
          <w:rFonts w:ascii="Times New Roman;Times;serif" w:hAnsi="Times New Roman;Times;serif"/>
          <w:color w:val="212529"/>
          <w:sz w:val="20"/>
          <w:shd w:fill="FFFFFF" w:val="clear"/>
        </w:rPr>
        <w:t>increased R&amp;D activities in 2026 related to the Phase 1 clinical trial for DA-1726</w:t>
      </w:r>
      <w:r>
        <w:rPr>
          <w:rFonts w:ascii="Times New Roman;Times;serif" w:hAnsi="Times New Roman;Times;serif"/>
          <w:sz w:val="20"/>
          <w:shd w:fill="FFFFFF" w:val="clear"/>
        </w:rPr>
        <w:t>.</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9</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MetaVia Inc.</w:t>
      </w:r>
    </w:p>
    <w:p>
      <w:pPr>
        <w:pStyle w:val="TextBody"/>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Notes to the Condensed Consolidated Financial Statements</w:t>
      </w:r>
    </w:p>
    <w:p>
      <w:pPr>
        <w:pStyle w:val="TextBody"/>
        <w:bidi w:val="0"/>
        <w:spacing w:lineRule="auto" w:line="285" w:before="0" w:after="0"/>
        <w:ind w:left="0" w:right="0" w:hanging="0"/>
        <w:jc w:val="center"/>
        <w:rPr>
          <w:rFonts w:ascii="Times New Roman;Times;serif" w:hAnsi="Times New Roman;Times;serif"/>
          <w:sz w:val="16"/>
        </w:rPr>
      </w:pPr>
      <w:r>
        <w:rPr>
          <w:rFonts w:ascii="Times New Roman;Times;serif" w:hAnsi="Times New Roman;Times;serif"/>
          <w:sz w:val="16"/>
        </w:rPr>
        <w:t>(Unaudited)</w:t>
      </w:r>
    </w:p>
    <w:p>
      <w:pPr>
        <w:pStyle w:val="TextBody"/>
        <w:bidi w:val="0"/>
        <w:spacing w:lineRule="auto" w:line="285" w:before="0" w:after="0"/>
        <w:ind w:left="0" w:right="0" w:hanging="0"/>
        <w:jc w:val="left"/>
        <w:rPr/>
      </w:pPr>
      <w:r>
        <w:rPr/>
        <w:t>​</w:t>
      </w:r>
    </w:p>
    <w:p>
      <w:pPr>
        <w:pStyle w:val="TextBody"/>
        <w:bidi w:val="0"/>
        <w:spacing w:lineRule="auto" w:line="285" w:before="0" w:after="120"/>
        <w:ind w:left="0" w:right="0" w:hanging="0"/>
        <w:jc w:val="left"/>
        <w:rPr>
          <w:rFonts w:ascii="Times New Roman;Times;serif" w:hAnsi="Times New Roman;Times;serif"/>
          <w:i/>
          <w:sz w:val="20"/>
        </w:rPr>
      </w:pPr>
      <w:bookmarkStart w:id="533" w:name="Tc_7kaqjeeuskKOUgvaV9gu1Q_6_2"/>
      <w:bookmarkStart w:id="534" w:name="Tc_pv1yRSNLYUuJ74sTy_0c8w_6_0"/>
      <w:bookmarkStart w:id="535" w:name="Tc_4QNongqyQUiIWFlq-jrEbw_4_0"/>
      <w:bookmarkStart w:id="536" w:name="Tc_62s6kXaLa0SdNUgpqJHZng_2_2"/>
      <w:bookmarkStart w:id="537" w:name="Tc_G80Jouil20uXoQG4uVpCbA_2_0"/>
      <w:bookmarkStart w:id="538" w:name="Tc_j4ci82qWjUKYQDRP_IPutA_1_2"/>
      <w:bookmarkStart w:id="539" w:name="_71bb7584_b5b5_4928_bd80_cf49e800028c"/>
      <w:bookmarkStart w:id="540" w:name="Tc_ejY3uSyOpESujyd1Jub4KQ_6_5"/>
      <w:bookmarkStart w:id="541" w:name="Tc_km6Yf6--3UGsXQCWxI5igw_6_2"/>
      <w:bookmarkStart w:id="542" w:name="Tc_Yqo3KLPuaUC2b_qsx8RxoA_6_0"/>
      <w:bookmarkStart w:id="543" w:name="Tc_GC_m68i9gkiLmwn0dJsCbQ_5_0"/>
      <w:bookmarkStart w:id="544" w:name="Tc_hUehsgVDS0qokXDfGf5giw_4_0"/>
      <w:bookmarkStart w:id="545" w:name="Tc_wy-yb_1GzUCqW57n-1dEmQ_3_5"/>
      <w:bookmarkStart w:id="546" w:name="Tc_u7_XE5VeS0mP86AwwMijjQ_3_2"/>
      <w:bookmarkStart w:id="547" w:name="Tc_NFGs0aAWtEioCifgvR4u8w_3_0"/>
      <w:bookmarkStart w:id="548" w:name="Tc_h715CYT6aUG5LIkBtHkngg_2_5"/>
      <w:bookmarkStart w:id="549" w:name="Tc_ssJXEk05T0Gc4rbdXkIt5Q_2_2"/>
      <w:bookmarkStart w:id="550" w:name="Tc_qVmECo1ANEiyrXsHkVASxg_1_2"/>
      <w:bookmarkStart w:id="551" w:name="_d42de202_9c91_4fef_8a7d_1265ad8e0740"/>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r>
        <w:rPr>
          <w:rFonts w:ascii="Times New Roman;Times;serif" w:hAnsi="Times New Roman;Times;serif"/>
          <w:i/>
          <w:sz w:val="20"/>
        </w:rPr>
        <w:t>Accrued expenses and other current liabilities</w:t>
      </w:r>
    </w:p>
    <w:p>
      <w:pPr>
        <w:pStyle w:val="TextBody"/>
        <w:bidi w:val="0"/>
        <w:spacing w:lineRule="auto" w:line="285" w:before="0" w:after="120"/>
        <w:ind w:left="0" w:right="0" w:hanging="0"/>
        <w:jc w:val="left"/>
        <w:rPr>
          <w:rFonts w:ascii="Times New Roman;Times;serif" w:hAnsi="Times New Roman;Times;serif"/>
          <w:sz w:val="20"/>
        </w:rPr>
      </w:pPr>
      <w:r>
        <w:rPr>
          <w:rFonts w:ascii="Times New Roman;Times;serif" w:hAnsi="Times New Roman;Times;serif"/>
          <w:sz w:val="20"/>
        </w:rPr>
        <w:t xml:space="preserve">Accrued expenses and other current liabilities consist of the following </w:t>
      </w:r>
      <w:r>
        <w:rPr>
          <w:rFonts w:ascii="Times New Roman;Times;serif" w:hAnsi="Times New Roman;Times;serif"/>
          <w:sz w:val="20"/>
          <w:shd w:fill="FFFFFF" w:val="clear"/>
        </w:rPr>
        <w:t>(in thousands)</w:t>
      </w:r>
      <w:r>
        <w:rPr>
          <w:rFonts w:ascii="Times New Roman;Times;serif" w:hAnsi="Times New Roman;Times;serif"/>
          <w:sz w:val="20"/>
        </w:rPr>
        <w:t>:</w:t>
      </w:r>
    </w:p>
    <w:tbl>
      <w:tblPr>
        <w:tblW w:w="5274" w:type="dxa"/>
        <w:jc w:val="left"/>
        <w:tblInd w:w="0" w:type="dxa"/>
        <w:tblLayout w:type="fixed"/>
        <w:tblCellMar>
          <w:top w:w="0" w:type="dxa"/>
          <w:left w:w="0" w:type="dxa"/>
          <w:bottom w:w="0" w:type="dxa"/>
          <w:right w:w="0" w:type="dxa"/>
        </w:tblCellMar>
      </w:tblPr>
      <w:tblGrid>
        <w:gridCol w:w="2086"/>
        <w:gridCol w:w="109"/>
        <w:gridCol w:w="415"/>
        <w:gridCol w:w="830"/>
        <w:gridCol w:w="109"/>
        <w:gridCol w:w="486"/>
        <w:gridCol w:w="1239"/>
      </w:tblGrid>
      <w:tr>
        <w:trPr/>
        <w:tc>
          <w:tcPr>
            <w:tcW w:w="20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1324610" cy="175260"/>
                      <wp:effectExtent l="0" t="0" r="0" b="0"/>
                      <wp:wrapNone/>
                      <wp:docPr id="71" name="Frame70"/>
                      <a:graphic xmlns:a="http://schemas.openxmlformats.org/drawingml/2006/main">
                        <a:graphicData uri="http://schemas.microsoft.com/office/word/2010/wordprocessingShape">
                          <wps:wsp>
                            <wps:cNvSpPr txBox="1"/>
                            <wps:spPr>
                              <a:xfrm>
                                <a:off x="0" y="0"/>
                                <a:ext cx="13246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9215" cy="175260"/>
                      <wp:effectExtent l="0" t="0" r="0" b="0"/>
                      <wp:wrapNone/>
                      <wp:docPr id="72" name="Frame7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41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263525" cy="175260"/>
                      <wp:effectExtent l="0" t="0" r="0" b="0"/>
                      <wp:wrapNone/>
                      <wp:docPr id="73" name="Frame72"/>
                      <a:graphic xmlns:a="http://schemas.openxmlformats.org/drawingml/2006/main">
                        <a:graphicData uri="http://schemas.microsoft.com/office/word/2010/wordprocessingShape">
                          <wps:wsp>
                            <wps:cNvSpPr txBox="1"/>
                            <wps:spPr>
                              <a:xfrm>
                                <a:off x="0" y="0"/>
                                <a:ext cx="26352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83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527050" cy="175260"/>
                      <wp:effectExtent l="0" t="0" r="0" b="0"/>
                      <wp:wrapNone/>
                      <wp:docPr id="74" name="Frame73"/>
                      <a:graphic xmlns:a="http://schemas.openxmlformats.org/drawingml/2006/main">
                        <a:graphicData uri="http://schemas.microsoft.com/office/word/2010/wordprocessingShape">
                          <wps:wsp>
                            <wps:cNvSpPr txBox="1"/>
                            <wps:spPr>
                              <a:xfrm>
                                <a:off x="0" y="0"/>
                                <a:ext cx="52705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9215" cy="175260"/>
                      <wp:effectExtent l="0" t="0" r="0" b="0"/>
                      <wp:wrapNone/>
                      <wp:docPr id="75" name="Frame7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4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308610" cy="175260"/>
                      <wp:effectExtent l="0" t="0" r="0" b="0"/>
                      <wp:wrapNone/>
                      <wp:docPr id="76" name="Frame75"/>
                      <a:graphic xmlns:a="http://schemas.openxmlformats.org/drawingml/2006/main">
                        <a:graphicData uri="http://schemas.microsoft.com/office/word/2010/wordprocessingShape">
                          <wps:wsp>
                            <wps:cNvSpPr txBox="1"/>
                            <wps:spPr>
                              <a:xfrm>
                                <a:off x="0" y="0"/>
                                <a:ext cx="3086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23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786765" cy="175260"/>
                      <wp:effectExtent l="0" t="0" r="0" b="0"/>
                      <wp:wrapNone/>
                      <wp:docPr id="77" name="Frame76"/>
                      <a:graphic xmlns:a="http://schemas.openxmlformats.org/drawingml/2006/main">
                        <a:graphicData uri="http://schemas.microsoft.com/office/word/2010/wordprocessingShape">
                          <wps:wsp>
                            <wps:cNvSpPr txBox="1"/>
                            <wps:spPr>
                              <a:xfrm>
                                <a:off x="0" y="0"/>
                                <a:ext cx="78676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1.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r>
      <w:tr>
        <w:trPr/>
        <w:tc>
          <w:tcPr>
            <w:tcW w:w="2086" w:type="dxa"/>
            <w:tcBorders/>
            <w:vAlign w:val="center"/>
          </w:tcPr>
          <w:p>
            <w:pPr>
              <w:pStyle w:val="TableContents"/>
              <w:bidi w:val="0"/>
              <w:spacing w:lineRule="auto" w:line="285" w:before="0" w:after="0"/>
              <w:ind w:left="0" w:right="0" w:hanging="0"/>
              <w:jc w:val="center"/>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3079" w:type="dxa"/>
            <w:gridSpan w:val="5"/>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As of</w:t>
            </w:r>
          </w:p>
        </w:tc>
      </w:tr>
      <w:tr>
        <w:trPr/>
        <w:tc>
          <w:tcPr>
            <w:tcW w:w="2086" w:type="dxa"/>
            <w:tcBorders>
              <w:bottom w:val="single" w:sz="2" w:space="0" w:color="000000"/>
            </w:tcBorders>
            <w:tcMar>
              <w:bottom w:w="28" w:type="dxa"/>
            </w:tcMar>
            <w:vAlign w:val="center"/>
          </w:tcPr>
          <w:p>
            <w:pPr>
              <w:pStyle w:val="TableContents"/>
              <w:bidi w:val="0"/>
              <w:spacing w:lineRule="auto" w:line="285" w:before="0" w:after="0"/>
              <w:ind w:left="0" w:right="0" w:hanging="0"/>
              <w:jc w:val="center"/>
              <w:rPr/>
            </w:pPr>
            <w:r>
              <w:rPr/>
              <w:t>​</w:t>
            </w:r>
          </w:p>
        </w:tc>
        <w:tc>
          <w:tcPr>
            <w:tcW w:w="109"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1245"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June 30, 2026</w:t>
            </w:r>
          </w:p>
        </w:tc>
        <w:tc>
          <w:tcPr>
            <w:tcW w:w="109"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1725"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December 31, 2025</w:t>
            </w:r>
          </w:p>
        </w:tc>
      </w:tr>
      <w:tr>
        <w:trPr/>
        <w:tc>
          <w:tcPr>
            <w:tcW w:w="208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Employee related costs</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415"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30"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561</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48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39"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829</w:t>
            </w:r>
          </w:p>
        </w:tc>
      </w:tr>
      <w:tr>
        <w:trPr/>
        <w:tc>
          <w:tcPr>
            <w:tcW w:w="2086"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Professional service fees</w:t>
            </w:r>
          </w:p>
        </w:tc>
        <w:tc>
          <w:tcPr>
            <w:tcW w:w="109" w:type="dxa"/>
            <w:tcBorders/>
            <w:vAlign w:val="center"/>
          </w:tcPr>
          <w:p>
            <w:pPr>
              <w:pStyle w:val="TableContents"/>
              <w:bidi w:val="0"/>
              <w:spacing w:lineRule="auto" w:line="285" w:before="0" w:after="0"/>
              <w:ind w:left="0" w:right="0" w:hanging="0"/>
              <w:jc w:val="left"/>
              <w:rPr/>
            </w:pPr>
            <w:r>
              <w:rPr/>
              <w:t>​</w:t>
            </w:r>
          </w:p>
        </w:tc>
        <w:tc>
          <w:tcPr>
            <w:tcW w:w="415" w:type="dxa"/>
            <w:tcBorders/>
            <w:vAlign w:val="center"/>
          </w:tcPr>
          <w:p>
            <w:pPr>
              <w:pStyle w:val="TableContents"/>
              <w:bidi w:val="0"/>
              <w:spacing w:lineRule="auto" w:line="285" w:before="0" w:after="0"/>
              <w:ind w:left="0" w:right="0" w:hanging="0"/>
              <w:jc w:val="left"/>
              <w:rPr/>
            </w:pPr>
            <w:r>
              <w:rPr/>
              <w:t>​</w:t>
            </w:r>
          </w:p>
        </w:tc>
        <w:tc>
          <w:tcPr>
            <w:tcW w:w="830"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22</w:t>
            </w:r>
          </w:p>
        </w:tc>
        <w:tc>
          <w:tcPr>
            <w:tcW w:w="109" w:type="dxa"/>
            <w:tcBorders/>
            <w:vAlign w:val="center"/>
          </w:tcPr>
          <w:p>
            <w:pPr>
              <w:pStyle w:val="TableContents"/>
              <w:bidi w:val="0"/>
              <w:spacing w:lineRule="auto" w:line="285" w:before="0" w:after="0"/>
              <w:ind w:left="0" w:right="0" w:hanging="0"/>
              <w:jc w:val="left"/>
              <w:rPr/>
            </w:pPr>
            <w:r>
              <w:rPr/>
              <w:t>​</w:t>
            </w:r>
          </w:p>
        </w:tc>
        <w:tc>
          <w:tcPr>
            <w:tcW w:w="486" w:type="dxa"/>
            <w:tcBorders/>
            <w:vAlign w:val="center"/>
          </w:tcPr>
          <w:p>
            <w:pPr>
              <w:pStyle w:val="TableContents"/>
              <w:bidi w:val="0"/>
              <w:spacing w:lineRule="auto" w:line="285" w:before="0" w:after="0"/>
              <w:ind w:left="0" w:right="0" w:hanging="0"/>
              <w:jc w:val="left"/>
              <w:rPr/>
            </w:pPr>
            <w:r>
              <w:rPr/>
              <w:t>​</w:t>
            </w:r>
          </w:p>
        </w:tc>
        <w:tc>
          <w:tcPr>
            <w:tcW w:w="1239"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15</w:t>
            </w:r>
          </w:p>
        </w:tc>
      </w:tr>
      <w:tr>
        <w:trPr/>
        <w:tc>
          <w:tcPr>
            <w:tcW w:w="208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Other</w:t>
            </w:r>
          </w:p>
        </w:tc>
        <w:tc>
          <w:tcPr>
            <w:tcW w:w="109"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415"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 </w:t>
            </w:r>
          </w:p>
        </w:tc>
        <w:tc>
          <w:tcPr>
            <w:tcW w:w="830"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23</w:t>
            </w:r>
          </w:p>
        </w:tc>
        <w:tc>
          <w:tcPr>
            <w:tcW w:w="109"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48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 </w:t>
            </w:r>
          </w:p>
        </w:tc>
        <w:tc>
          <w:tcPr>
            <w:tcW w:w="1239"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149</w:t>
            </w:r>
          </w:p>
        </w:tc>
      </w:tr>
      <w:tr>
        <w:trPr/>
        <w:tc>
          <w:tcPr>
            <w:tcW w:w="2086"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Total</w:t>
            </w:r>
          </w:p>
        </w:tc>
        <w:tc>
          <w:tcPr>
            <w:tcW w:w="109"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415"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30"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606</w:t>
            </w:r>
          </w:p>
        </w:tc>
        <w:tc>
          <w:tcPr>
            <w:tcW w:w="109"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486"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39" w:type="dxa"/>
            <w:tcBorders>
              <w:bottom w:val="double" w:sz="6" w:space="0" w:color="000000"/>
            </w:tcBorders>
            <w:tcMar>
              <w:bottom w:w="28" w:type="dxa"/>
            </w:tcMar>
            <w:vAlign w:val="center"/>
          </w:tcPr>
          <w:p>
            <w:pPr>
              <w:pStyle w:val="TableContents"/>
              <w:bidi w:val="0"/>
              <w:spacing w:lineRule="auto" w:line="285" w:before="0" w:after="0"/>
              <w:ind w:left="0" w:right="70" w:hanging="0"/>
              <w:jc w:val="right"/>
              <w:rPr>
                <w:rFonts w:ascii="Times New Roman;Times;serif" w:hAnsi="Times New Roman;Times;serif"/>
                <w:sz w:val="20"/>
              </w:rPr>
            </w:pPr>
            <w:r>
              <w:rPr>
                <w:rFonts w:ascii="Times New Roman;Times;serif" w:hAnsi="Times New Roman;Times;serif"/>
                <w:sz w:val="20"/>
              </w:rPr>
              <w:t>993</w:t>
            </w:r>
          </w:p>
        </w:tc>
      </w:tr>
    </w:tbl>
    <w:p>
      <w:pPr>
        <w:pStyle w:val="TextBody"/>
        <w:bidi w:val="0"/>
        <w:spacing w:lineRule="auto" w:line="285" w:before="0" w:after="0"/>
        <w:ind w:left="0" w:right="0" w:hanging="0"/>
        <w:jc w:val="left"/>
        <w:rPr/>
      </w:pPr>
      <w:r>
        <w:rPr/>
        <w:t>​</w:t>
      </w:r>
    </w:p>
    <w:p>
      <w:pPr>
        <w:pStyle w:val="TextBody"/>
        <w:bidi w:val="0"/>
        <w:spacing w:lineRule="auto" w:line="285" w:before="160" w:after="160"/>
        <w:ind w:left="0" w:right="0" w:hanging="0"/>
        <w:jc w:val="both"/>
        <w:rPr>
          <w:rFonts w:ascii="Times New Roman;Times;serif" w:hAnsi="Times New Roman;Times;serif"/>
          <w:i/>
          <w:sz w:val="20"/>
        </w:rPr>
      </w:pPr>
      <w:r>
        <w:rPr>
          <w:rFonts w:ascii="Times New Roman;Times;serif" w:hAnsi="Times New Roman;Times;serif"/>
          <w:i/>
          <w:sz w:val="20"/>
        </w:rPr>
        <w:t>Warrant liabilities</w:t>
      </w:r>
    </w:p>
    <w:p>
      <w:pPr>
        <w:pStyle w:val="TextBody"/>
        <w:bidi w:val="0"/>
        <w:spacing w:lineRule="auto" w:line="285" w:before="0" w:after="160"/>
        <w:ind w:left="0" w:right="0" w:hanging="0"/>
        <w:jc w:val="both"/>
        <w:rPr>
          <w:rFonts w:ascii="Times New Roman;Times;serif" w:hAnsi="Times New Roman;Times;serif"/>
          <w:sz w:val="20"/>
        </w:rPr>
      </w:pPr>
      <w:r>
        <w:rPr>
          <w:rFonts w:ascii="Times New Roman;Times;serif" w:hAnsi="Times New Roman;Times;serif"/>
          <w:sz w:val="20"/>
        </w:rPr>
        <w:t>Changes to our warrant liabilities are summarized as follows (in thousands):</w:t>
      </w:r>
    </w:p>
    <w:tbl>
      <w:tblPr>
        <w:tblW w:w="5167" w:type="dxa"/>
        <w:jc w:val="left"/>
        <w:tblInd w:w="0" w:type="dxa"/>
        <w:tblLayout w:type="fixed"/>
        <w:tblCellMar>
          <w:top w:w="0" w:type="dxa"/>
          <w:left w:w="0" w:type="dxa"/>
          <w:bottom w:w="0" w:type="dxa"/>
          <w:right w:w="0" w:type="dxa"/>
        </w:tblCellMar>
      </w:tblPr>
      <w:tblGrid>
        <w:gridCol w:w="4261"/>
        <w:gridCol w:w="109"/>
        <w:gridCol w:w="211"/>
        <w:gridCol w:w="586"/>
      </w:tblGrid>
      <w:tr>
        <w:trPr/>
        <w:tc>
          <w:tcPr>
            <w:tcW w:w="42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2705735" cy="175260"/>
                      <wp:effectExtent l="0" t="0" r="0" b="0"/>
                      <wp:wrapNone/>
                      <wp:docPr id="78" name="Frame77"/>
                      <a:graphic xmlns:a="http://schemas.openxmlformats.org/drawingml/2006/main">
                        <a:graphicData uri="http://schemas.microsoft.com/office/word/2010/wordprocessingShape">
                          <wps:wsp>
                            <wps:cNvSpPr txBox="1"/>
                            <wps:spPr>
                              <a:xfrm>
                                <a:off x="0" y="0"/>
                                <a:ext cx="270573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9215" cy="175260"/>
                      <wp:effectExtent l="0" t="0" r="0" b="0"/>
                      <wp:wrapNone/>
                      <wp:docPr id="79" name="Frame7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133985" cy="175260"/>
                      <wp:effectExtent l="0" t="0" r="0" b="0"/>
                      <wp:wrapNone/>
                      <wp:docPr id="80" name="Frame7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5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372110" cy="175260"/>
                      <wp:effectExtent l="0" t="0" r="0" b="0"/>
                      <wp:wrapNone/>
                      <wp:docPr id="81" name="Frame80"/>
                      <a:graphic xmlns:a="http://schemas.openxmlformats.org/drawingml/2006/main">
                        <a:graphicData uri="http://schemas.microsoft.com/office/word/2010/wordprocessingShape">
                          <wps:wsp>
                            <wps:cNvSpPr txBox="1"/>
                            <wps:spPr>
                              <a:xfrm>
                                <a:off x="0" y="0"/>
                                <a:ext cx="3721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r>
      <w:tr>
        <w:trPr/>
        <w:tc>
          <w:tcPr>
            <w:tcW w:w="4261" w:type="dxa"/>
            <w:tcBorders>
              <w:bottom w:val="single" w:sz="2" w:space="0" w:color="000000"/>
            </w:tcBorders>
            <w:tcMar>
              <w:bottom w:w="28" w:type="dxa"/>
            </w:tcMar>
            <w:vAlign w:val="center"/>
          </w:tcPr>
          <w:p>
            <w:pPr>
              <w:pStyle w:val="TableContents"/>
              <w:bidi w:val="0"/>
              <w:spacing w:lineRule="auto" w:line="285" w:before="0" w:after="0"/>
              <w:ind w:left="0" w:right="0" w:hanging="0"/>
              <w:jc w:val="center"/>
              <w:rPr/>
            </w:pPr>
            <w:r>
              <w:rPr/>
              <w:t>​</w:t>
            </w:r>
          </w:p>
        </w:tc>
        <w:tc>
          <w:tcPr>
            <w:tcW w:w="109"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797"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Total</w:t>
            </w:r>
          </w:p>
        </w:tc>
      </w:tr>
      <w:tr>
        <w:trPr/>
        <w:tc>
          <w:tcPr>
            <w:tcW w:w="426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As of January 1, 2025</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86"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361</w:t>
            </w:r>
          </w:p>
        </w:tc>
      </w:tr>
      <w:tr>
        <w:trPr/>
        <w:tc>
          <w:tcPr>
            <w:tcW w:w="4261"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Gain from change in fair value of warrant liabilities</w:t>
            </w:r>
          </w:p>
        </w:tc>
        <w:tc>
          <w:tcPr>
            <w:tcW w:w="109"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586"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(225)</w:t>
            </w:r>
          </w:p>
        </w:tc>
      </w:tr>
      <w:tr>
        <w:trPr/>
        <w:tc>
          <w:tcPr>
            <w:tcW w:w="426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As of December 31, 2025</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pPr>
            <w:r>
              <w:rPr/>
              <w:t>​</w:t>
            </w:r>
          </w:p>
        </w:tc>
        <w:tc>
          <w:tcPr>
            <w:tcW w:w="586"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136</w:t>
            </w:r>
          </w:p>
        </w:tc>
      </w:tr>
      <w:tr>
        <w:trPr/>
        <w:tc>
          <w:tcPr>
            <w:tcW w:w="4261"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Gain from change in fair value of warrant liabilities</w:t>
            </w:r>
          </w:p>
        </w:tc>
        <w:tc>
          <w:tcPr>
            <w:tcW w:w="109"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586"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(113)</w:t>
            </w:r>
          </w:p>
        </w:tc>
      </w:tr>
      <w:tr>
        <w:trPr/>
        <w:tc>
          <w:tcPr>
            <w:tcW w:w="4261"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As of June 30, 2026</w:t>
            </w:r>
          </w:p>
        </w:tc>
        <w:tc>
          <w:tcPr>
            <w:tcW w:w="109"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86" w:type="dxa"/>
            <w:tcBorders>
              <w:bottom w:val="double" w:sz="6" w:space="0" w:color="000000"/>
            </w:tcBorders>
            <w:shd w:fill="CCEEFF" w:val="clear"/>
            <w:tcMar>
              <w:bottom w:w="28" w:type="dxa"/>
            </w:tcMar>
            <w:vAlign w:val="center"/>
          </w:tcPr>
          <w:p>
            <w:pPr>
              <w:pStyle w:val="TableContents"/>
              <w:bidi w:val="0"/>
              <w:spacing w:lineRule="auto" w:line="285" w:before="0" w:after="0"/>
              <w:ind w:left="0" w:right="70" w:hanging="0"/>
              <w:jc w:val="right"/>
              <w:rPr>
                <w:rFonts w:ascii="Times New Roman;Times;serif" w:hAnsi="Times New Roman;Times;serif"/>
                <w:sz w:val="20"/>
              </w:rPr>
            </w:pPr>
            <w:r>
              <w:rPr>
                <w:rFonts w:ascii="Times New Roman;Times;serif" w:hAnsi="Times New Roman;Times;serif"/>
                <w:sz w:val="20"/>
              </w:rPr>
              <w:t>23</w:t>
            </w:r>
          </w:p>
        </w:tc>
      </w:tr>
    </w:tbl>
    <w:p>
      <w:pPr>
        <w:pStyle w:val="TextBody"/>
        <w:bidi w:val="0"/>
        <w:spacing w:lineRule="auto" w:line="285" w:before="0" w:after="0"/>
        <w:ind w:left="0" w:right="0" w:hanging="0"/>
        <w:jc w:val="left"/>
        <w:rPr/>
      </w:pPr>
      <w:r>
        <w:rPr/>
        <w:t>​</w:t>
      </w:r>
    </w:p>
    <w:p>
      <w:pPr>
        <w:pStyle w:val="TextBody"/>
        <w:bidi w:val="0"/>
        <w:spacing w:lineRule="auto" w:line="285" w:before="160" w:after="0"/>
        <w:ind w:left="0" w:right="0" w:hanging="0"/>
        <w:jc w:val="both"/>
        <w:rPr>
          <w:rFonts w:ascii="Times New Roman;Times;serif" w:hAnsi="Times New Roman;Times;serif"/>
          <w:sz w:val="20"/>
        </w:rPr>
      </w:pPr>
      <w:r>
        <w:rPr>
          <w:rFonts w:ascii="Times New Roman;Times;serif" w:hAnsi="Times New Roman;Times;serif"/>
          <w:sz w:val="20"/>
        </w:rPr>
        <w:t>Our warrant liabilities relate to the 2022 Series B warrants, which were issued in November 2022. These warrants are considered to be derivative instruments; accordingly, we recorded their estimated fair value as warrant liabilities. We estimated the fair value of these warrants using the trading market price of our common stock due to a cashless exercise provision of these warrants whereby eight warrants can be exercised for one share of common stock for no additional consideration, which results in an effective per warrant exercise price of zero.</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pPr>
      <w:r>
        <w:rPr/>
        <w:t>​</w:t>
      </w:r>
    </w:p>
    <w:p>
      <w:pPr>
        <w:pStyle w:val="TextBody"/>
        <w:pBdr/>
        <w:bidi w:val="0"/>
        <w:spacing w:lineRule="auto" w:line="285" w:before="0" w:after="0"/>
        <w:ind w:left="0" w:right="0" w:hanging="0"/>
        <w:jc w:val="left"/>
        <w:rPr>
          <w:rFonts w:ascii="Times New Roman;Times;serif" w:hAnsi="Times New Roman;Times;serif"/>
          <w:sz w:val="20"/>
        </w:rPr>
      </w:pPr>
      <w:bookmarkStart w:id="552" w:name="_cfccbd52_6b5a_4a99_a246_ed3205be2366_3"/>
      <w:bookmarkStart w:id="553" w:name="_cfccbd52_6b5a_4a99_a246_ed3205be2366_2"/>
      <w:bookmarkStart w:id="554" w:name="_cfccbd52_6b5a_4a99_a246_ed3205be2366"/>
      <w:bookmarkStart w:id="555" w:name="_976bd6dd_25c9_4063_956c_2ccb8573f4fe_3"/>
      <w:bookmarkStart w:id="556" w:name="_976bd6dd_25c9_4063_956c_2ccb8573f4fe_2"/>
      <w:bookmarkStart w:id="557" w:name="_976bd6dd_25c9_4063_956c_2ccb8573f4fe"/>
      <w:bookmarkEnd w:id="552"/>
      <w:bookmarkEnd w:id="553"/>
      <w:bookmarkEnd w:id="554"/>
      <w:bookmarkEnd w:id="555"/>
      <w:bookmarkEnd w:id="556"/>
      <w:bookmarkEnd w:id="557"/>
      <w:r>
        <w:rPr>
          <w:rFonts w:ascii="Times New Roman;Times;serif" w:hAnsi="Times New Roman;Times;serif"/>
          <w:b/>
          <w:i w:val="false"/>
          <w:caps w:val="false"/>
          <w:smallCaps w:val="false"/>
          <w:sz w:val="20"/>
        </w:rPr>
        <w:t>5.</w:t>
      </w:r>
      <w:r>
        <w:rPr>
          <w:rFonts w:ascii="Times New Roman;Times;serif" w:hAnsi="Times New Roman;Times;serif"/>
          <w:b/>
          <w:sz w:val="20"/>
        </w:rPr>
        <w:t>Related party</w:t>
      </w:r>
    </w:p>
    <w:p>
      <w:pPr>
        <w:pStyle w:val="TextBody"/>
        <w:shd w:fill="FFFFFF" w:val="clear"/>
        <w:bidi w:val="0"/>
        <w:spacing w:lineRule="auto" w:line="285" w:before="0" w:after="0"/>
        <w:ind w:left="0" w:right="0" w:hanging="0"/>
        <w:jc w:val="both"/>
        <w:rPr>
          <w:rFonts w:ascii="Times New Roman;Times;serif" w:hAnsi="Times New Roman;Times;serif"/>
          <w:sz w:val="20"/>
        </w:rPr>
      </w:pPr>
      <w:r>
        <w:rPr>
          <w:rFonts w:ascii="Times New Roman;Times;serif" w:hAnsi="Times New Roman;Times;serif"/>
          <w:sz w:val="20"/>
        </w:rPr>
        <w:t xml:space="preserve">We entered into a license agreement with Dong-A ST Co., Ltd. (“Dong-A ST”) pursuant to which we received an exclusive global license (except for the territory of the Republic of Korea) for two proprietary compounds for specified indications (the “2022 License Agreement”) upon meeting certain financing milestones. The 2022 License Agreement covers the rights to vanoglipel for treatment of MASH and DA-1726 for treatment of obesity and MASH. The 2022 License Agreement also provides that we may develop vanoglipel for the treatment of </w:t>
      </w:r>
      <w:r>
        <w:rPr>
          <w:rFonts w:ascii="Times New Roman;Times;serif" w:hAnsi="Times New Roman;Times;serif"/>
          <w:spacing w:val="4"/>
          <w:sz w:val="20"/>
        </w:rPr>
        <w:t>type 2 diabetes mellitus</w:t>
      </w:r>
      <w:r>
        <w:rPr>
          <w:rFonts w:ascii="Times New Roman;Times;serif" w:hAnsi="Times New Roman;Times;serif"/>
          <w:sz w:val="20"/>
        </w:rPr>
        <w:t>.</w:t>
      </w:r>
    </w:p>
    <w:p>
      <w:pPr>
        <w:pStyle w:val="TextBody"/>
        <w:pBdr/>
        <w:shd w:fill="FFFFFF" w:val="clear"/>
        <w:bidi w:val="0"/>
        <w:spacing w:lineRule="auto" w:line="285" w:before="0" w:after="0"/>
        <w:ind w:left="0" w:right="0" w:hanging="0"/>
        <w:jc w:val="both"/>
        <w:rPr>
          <w:rFonts w:ascii="Times New Roman;Times;serif" w:hAnsi="Times New Roman;Times;serif"/>
          <w:sz w:val="20"/>
        </w:rPr>
      </w:pPr>
      <w:r>
        <w:rPr>
          <w:rFonts w:ascii="Times New Roman;Times;serif" w:hAnsi="Times New Roman;Times;serif"/>
          <w:sz w:val="20"/>
        </w:rPr>
        <w:t>In connection with the 2022 License Agreement, we entered into a shared services agreement with Dong-A ST (the “Shared Services Agreement”), relating to vanoglipel and DA-1726, pursuant to which Dong-A ST may provide technical support, preclinical development, and clinical trial support services on terms and conditions acceptable to both parties. In addition, the Shared Services Agreement provides that Dong-A ST will manufacture all of our clinical requirements of vanoglipel and DA-1726 under the terms provided in the Shared Services Agreement.</w:t>
      </w:r>
    </w:p>
    <w:p>
      <w:pPr>
        <w:pStyle w:val="TextBody"/>
        <w:pBdr/>
        <w:bidi w:val="0"/>
        <w:spacing w:lineRule="auto" w:line="285" w:before="0" w:after="0"/>
        <w:ind w:left="0" w:right="0" w:hanging="0"/>
        <w:jc w:val="both"/>
        <w:rPr>
          <w:rFonts w:ascii="Times New Roman;Times;serif" w:hAnsi="Times New Roman;Times;serif"/>
          <w:sz w:val="20"/>
        </w:rPr>
      </w:pPr>
      <w:r>
        <w:rPr>
          <w:rFonts w:ascii="Times New Roman;Times;serif" w:hAnsi="Times New Roman;Times;serif"/>
          <w:sz w:val="20"/>
          <w:shd w:fill="FFFFFF" w:val="clear"/>
        </w:rPr>
        <w:t>We incurred R&amp;D expenses of $0.2 million and $0.9 million for the three and six months ended June 30, 2026, respectively, and $1.3 million and $2.4 million for the three and six months ended June 30, 2025, respectively, under the Shared Services Agreement, which are included in R&amp;D operating expenses in the accompanying condensed consolidated statements of op</w:t>
      </w:r>
      <w:r>
        <w:rPr>
          <w:rFonts w:ascii="Times New Roman;Times;serif" w:hAnsi="Times New Roman;Times;serif"/>
          <w:sz w:val="20"/>
        </w:rPr>
        <w:t xml:space="preserve">erations. The </w:t>
      </w:r>
      <w:r>
        <w:rPr>
          <w:rFonts w:ascii="Times New Roman;Times;serif" w:hAnsi="Times New Roman;Times;serif"/>
          <w:sz w:val="20"/>
          <w:shd w:fill="FFFFFF" w:val="clear"/>
        </w:rPr>
        <w:t xml:space="preserve">aggregate amount payable to Dong-A ST was $1.9 million and $3.3 million as of June 30, 2026 and December 31, 2025, respectively, under the Shared Services Agreement, which are included in related party payable in the accompanying condensed consolidated balance sheets. Of the total amount payable to Dong-A ST as of June 30, 2026 (i) $1.4 million is payable in accordance with an invoice with extended terms in which approximately $0.7 million was due on June 30, 2026 and $0.7 million is due on September 30, 2026, (ii) $0.1 million is payable in accrued interest based on a fixed interest rate of 4.6% per annum, and (iii) $0.4 million is payable in clinical trial accrued liabilities. The amounts due on June 30, 2026 remains unpaid as of the date of issuance of these condensed consolidated financial statements </w:t>
      </w:r>
      <w:r>
        <w:rPr>
          <w:rFonts w:ascii="Times New Roman;Times;serif" w:hAnsi="Times New Roman;Times;serif"/>
          <w:sz w:val="20"/>
        </w:rPr>
        <w:t>and have been included in current liabilities.</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10</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MetaVia Inc.</w:t>
      </w:r>
    </w:p>
    <w:p>
      <w:pPr>
        <w:pStyle w:val="TextBody"/>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Notes to the Condensed Consolidated Financial Statements</w:t>
      </w:r>
    </w:p>
    <w:p>
      <w:pPr>
        <w:pStyle w:val="TextBody"/>
        <w:bidi w:val="0"/>
        <w:spacing w:lineRule="auto" w:line="285" w:before="0" w:after="0"/>
        <w:ind w:left="0" w:right="0" w:hanging="0"/>
        <w:jc w:val="center"/>
        <w:rPr>
          <w:rFonts w:ascii="Times New Roman;Times;serif" w:hAnsi="Times New Roman;Times;serif"/>
          <w:sz w:val="16"/>
        </w:rPr>
      </w:pPr>
      <w:r>
        <w:rPr>
          <w:rFonts w:ascii="Times New Roman;Times;serif" w:hAnsi="Times New Roman;Times;serif"/>
          <w:sz w:val="16"/>
        </w:rPr>
        <w:t>(Unaudited)</w:t>
      </w:r>
    </w:p>
    <w:p>
      <w:pPr>
        <w:pStyle w:val="TextBody"/>
        <w:bidi w:val="0"/>
        <w:spacing w:lineRule="auto" w:line="285" w:before="0" w:after="0"/>
        <w:ind w:left="0" w:right="0" w:hanging="0"/>
        <w:jc w:val="left"/>
        <w:rPr/>
      </w:pPr>
      <w:r>
        <w:rPr/>
        <w:t>​</w:t>
      </w:r>
    </w:p>
    <w:p>
      <w:pPr>
        <w:pStyle w:val="TextBody"/>
        <w:shd w:fill="FFFFFF" w:val="clear"/>
        <w:bidi w:val="0"/>
        <w:spacing w:lineRule="auto" w:line="285" w:before="0" w:after="0"/>
        <w:ind w:left="0" w:right="0" w:hanging="0"/>
        <w:jc w:val="both"/>
        <w:rPr>
          <w:rFonts w:ascii="Times New Roman;Times;serif" w:hAnsi="Times New Roman;Times;serif"/>
          <w:sz w:val="20"/>
        </w:rPr>
      </w:pPr>
      <w:r>
        <w:rPr>
          <w:rFonts w:ascii="Times New Roman;Times;serif" w:hAnsi="Times New Roman;Times;serif"/>
          <w:sz w:val="20"/>
        </w:rPr>
        <w:t>For additional information on the 2022 License Agreement, the Shared Services Agreement and other agreements with Dong-A ST, refer to “Note 5. Related party” in the audited consolidated financial statements and notes thereto for the year ended December 31, 2025, which is included in our 2025 Form 10-K.</w:t>
      </w:r>
    </w:p>
    <w:p>
      <w:pPr>
        <w:pStyle w:val="TextBody"/>
        <w:bidi w:val="0"/>
        <w:spacing w:lineRule="auto" w:line="285" w:before="280" w:after="0"/>
        <w:ind w:left="0" w:right="806" w:hanging="0"/>
        <w:jc w:val="both"/>
        <w:rPr/>
      </w:pPr>
      <w:r>
        <w:rPr/>
        <w:t>​</w:t>
      </w:r>
    </w:p>
    <w:p>
      <w:pPr>
        <w:pStyle w:val="TextBody"/>
        <w:bidi w:val="0"/>
        <w:spacing w:lineRule="auto" w:line="285" w:before="0" w:after="160"/>
        <w:ind w:left="0" w:right="806" w:hanging="0"/>
        <w:jc w:val="left"/>
        <w:rPr>
          <w:rFonts w:ascii="Times New Roman;Times;serif" w:hAnsi="Times New Roman;Times;serif"/>
          <w:sz w:val="2"/>
        </w:rPr>
      </w:pPr>
      <w:r>
        <w:rPr>
          <w:rFonts w:ascii="Times New Roman;Times;serif" w:hAnsi="Times New Roman;Times;serif"/>
          <w:b/>
          <w:i w:val="false"/>
          <w:caps w:val="false"/>
          <w:smallCaps w:val="false"/>
          <w:sz w:val="2"/>
        </w:rPr>
        <w:t>y</w:t>
      </w:r>
      <w:r>
        <w:rPr>
          <w:rFonts w:ascii="Times New Roman;Times;serif" w:hAnsi="Times New Roman;Times;serif"/>
          <w:b/>
          <w:i w:val="false"/>
          <w:caps w:val="false"/>
          <w:smallCaps w:val="false"/>
          <w:sz w:val="20"/>
        </w:rPr>
        <w:t xml:space="preserve">6. </w:t>
      </w:r>
      <w:r>
        <w:rPr>
          <w:rFonts w:ascii="Times New Roman;Times;serif" w:hAnsi="Times New Roman;Times;serif"/>
          <w:b/>
          <w:sz w:val="20"/>
        </w:rPr>
        <w:t>Commitments and contingencies</w:t>
      </w:r>
    </w:p>
    <w:p>
      <w:pPr>
        <w:pStyle w:val="TextBody"/>
        <w:bidi w:val="0"/>
        <w:spacing w:lineRule="auto" w:line="285" w:before="0" w:after="160"/>
        <w:ind w:left="0" w:right="0" w:hanging="0"/>
        <w:jc w:val="both"/>
        <w:rPr>
          <w:rFonts w:ascii="Times New Roman;Times;serif" w:hAnsi="Times New Roman;Times;serif"/>
          <w:b/>
          <w:sz w:val="20"/>
        </w:rPr>
      </w:pPr>
      <w:r>
        <w:rPr>
          <w:rFonts w:ascii="Times New Roman;Times;serif" w:hAnsi="Times New Roman;Times;serif"/>
          <w:b/>
          <w:sz w:val="20"/>
        </w:rPr>
        <w:t>Contingent payments and license agreements</w:t>
      </w:r>
    </w:p>
    <w:p>
      <w:pPr>
        <w:pStyle w:val="TextBody"/>
        <w:bidi w:val="0"/>
        <w:spacing w:lineRule="auto" w:line="285" w:before="0" w:after="160"/>
        <w:ind w:left="0" w:right="0" w:hanging="0"/>
        <w:jc w:val="both"/>
        <w:rPr>
          <w:rFonts w:ascii="Times New Roman;Times;serif" w:hAnsi="Times New Roman;Times;serif"/>
          <w:sz w:val="24"/>
        </w:rPr>
      </w:pPr>
      <w:r>
        <w:rPr>
          <w:rFonts w:ascii="Times New Roman;Times;serif" w:hAnsi="Times New Roman;Times;serif"/>
          <w:spacing w:val="4"/>
          <w:sz w:val="20"/>
        </w:rPr>
        <w:t>We have certain contractual contingent payments under various merger or license agreements executed between 2019 and 2020 for our legacy therapeutic programs. </w:t>
      </w:r>
      <w:r>
        <w:rPr>
          <w:rFonts w:ascii="Times New Roman;Times;serif" w:hAnsi="Times New Roman;Times;serif"/>
          <w:sz w:val="20"/>
        </w:rPr>
        <w:t>Since we have discontinued the clinical development of our legacy therapeutic programs, we believe any </w:t>
      </w:r>
      <w:r>
        <w:rPr>
          <w:rFonts w:ascii="Times New Roman;Times;serif" w:hAnsi="Times New Roman;Times;serif"/>
          <w:spacing w:val="4"/>
          <w:sz w:val="20"/>
        </w:rPr>
        <w:t>contractual payments to be paid by us or to be received by us under these agreements are</w:t>
      </w:r>
      <w:r>
        <w:rPr>
          <w:rFonts w:ascii="Times New Roman;Times;serif" w:hAnsi="Times New Roman;Times;serif"/>
          <w:sz w:val="24"/>
        </w:rPr>
        <w:t> </w:t>
      </w:r>
      <w:r>
        <w:rPr>
          <w:rFonts w:ascii="Times New Roman;Times;serif" w:hAnsi="Times New Roman;Times;serif"/>
          <w:sz w:val="20"/>
        </w:rPr>
        <w:t>remote. Therefore, a</w:t>
      </w:r>
      <w:r>
        <w:rPr>
          <w:rFonts w:ascii="Times New Roman;Times;serif" w:hAnsi="Times New Roman;Times;serif"/>
          <w:sz w:val="20"/>
          <w:shd w:fill="FFFFFF" w:val="clear"/>
        </w:rPr>
        <w:t>s of June 30, 2026, no</w:t>
      </w:r>
      <w:r>
        <w:rPr>
          <w:rFonts w:ascii="Times New Roman;Times;serif" w:hAnsi="Times New Roman;Times;serif"/>
          <w:sz w:val="24"/>
          <w:shd w:fill="FFFFFF" w:val="clear"/>
        </w:rPr>
        <w:t> </w:t>
      </w:r>
      <w:r>
        <w:rPr>
          <w:rFonts w:ascii="Times New Roman;Times;serif" w:hAnsi="Times New Roman;Times;serif"/>
          <w:sz w:val="20"/>
          <w:shd w:fill="FFFFFF" w:val="clear"/>
        </w:rPr>
        <w:t>liabilities or </w:t>
      </w:r>
      <w:r>
        <w:rPr>
          <w:rFonts w:ascii="Times New Roman;Times;serif" w:hAnsi="Times New Roman;Times;serif"/>
          <w:b w:val="false"/>
          <w:i w:val="false"/>
          <w:caps w:val="false"/>
          <w:smallCaps w:val="false"/>
          <w:sz w:val="20"/>
          <w:shd w:fill="FFFFFF" w:val="clear"/>
        </w:rPr>
        <w:t>assets</w:t>
      </w:r>
      <w:r>
        <w:rPr>
          <w:rFonts w:ascii="Times New Roman;Times;serif" w:hAnsi="Times New Roman;Times;serif"/>
          <w:sz w:val="24"/>
          <w:shd w:fill="FFFFFF" w:val="clear"/>
        </w:rPr>
        <w:t> </w:t>
      </w:r>
      <w:r>
        <w:rPr>
          <w:rFonts w:ascii="Times New Roman;Times;serif" w:hAnsi="Times New Roman;Times;serif"/>
          <w:sz w:val="20"/>
          <w:shd w:fill="FFFFFF" w:val="clear"/>
        </w:rPr>
        <w:t>were recorded in the accompanying consolidated financial statements for our legacy therapeutic programs.</w:t>
      </w:r>
    </w:p>
    <w:p>
      <w:pPr>
        <w:pStyle w:val="TextBody"/>
        <w:bidi w:val="0"/>
        <w:spacing w:lineRule="auto" w:line="285" w:before="0" w:after="160"/>
        <w:ind w:left="0" w:right="0" w:hanging="0"/>
        <w:jc w:val="both"/>
        <w:rPr>
          <w:rFonts w:ascii="Times New Roman;Times;serif" w:hAnsi="Times New Roman;Times;serif"/>
          <w:b/>
          <w:sz w:val="20"/>
        </w:rPr>
      </w:pPr>
      <w:r>
        <w:rPr>
          <w:rFonts w:ascii="Times New Roman;Times;serif" w:hAnsi="Times New Roman;Times;serif"/>
          <w:b/>
          <w:sz w:val="20"/>
        </w:rPr>
        <w:t>Legal proceedings</w:t>
      </w:r>
    </w:p>
    <w:p>
      <w:pPr>
        <w:pStyle w:val="TextBody"/>
        <w:bidi w:val="0"/>
        <w:spacing w:lineRule="auto" w:line="285" w:before="0" w:after="0"/>
        <w:ind w:left="0" w:right="0" w:hanging="0"/>
        <w:jc w:val="both"/>
        <w:rPr>
          <w:rFonts w:ascii="Times New Roman;Times;serif" w:hAnsi="Times New Roman;Times;serif"/>
          <w:sz w:val="20"/>
        </w:rPr>
      </w:pPr>
      <w:r>
        <w:rPr>
          <w:rFonts w:ascii="Times New Roman;Times;serif" w:hAnsi="Times New Roman;Times;serif"/>
          <w:sz w:val="20"/>
        </w:rPr>
        <w:t>From time to time, we may be involved in various claims and legal proceedings arising out of our ordinary course of business. We are not currently a party to any claims or legal proceedings that, in the opinion of our management, are likely to have a material adverse effect on our business and consolidated financial statements. Regardless of the outcome, litigation can have an adverse impact on us because of defense and settlement costs, diversion of management resources and other factors.</w:t>
      </w:r>
    </w:p>
    <w:p>
      <w:pPr>
        <w:pStyle w:val="TextBody"/>
        <w:bidi w:val="0"/>
        <w:spacing w:lineRule="auto" w:line="285" w:before="0" w:after="0"/>
        <w:ind w:left="0" w:right="0" w:hanging="0"/>
        <w:jc w:val="both"/>
        <w:rPr/>
      </w:pPr>
      <w:r>
        <w:rPr/>
        <w:t>​</w:t>
      </w:r>
    </w:p>
    <w:p>
      <w:pPr>
        <w:pStyle w:val="TextBody"/>
        <w:bidi w:val="0"/>
        <w:spacing w:lineRule="auto" w:line="285" w:before="0" w:after="0"/>
        <w:ind w:left="0" w:right="0" w:hanging="0"/>
        <w:jc w:val="both"/>
        <w:rPr/>
      </w:pPr>
      <w:r>
        <w:rPr/>
        <w:t>​</w:t>
      </w:r>
    </w:p>
    <w:p>
      <w:pPr>
        <w:pStyle w:val="TextBody"/>
        <w:bidi w:val="0"/>
        <w:spacing w:lineRule="auto" w:line="285" w:before="0" w:after="0"/>
        <w:ind w:left="0" w:right="0" w:hanging="0"/>
        <w:jc w:val="left"/>
        <w:rPr/>
      </w:pPr>
      <w:r>
        <w:rPr/>
        <w:t>​</w:t>
      </w:r>
    </w:p>
    <w:p>
      <w:pPr>
        <w:pStyle w:val="TextBody"/>
        <w:pBdr/>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7.</w:t>
      </w:r>
      <w:r>
        <w:rPr>
          <w:rFonts w:ascii="Times New Roman;Times;serif" w:hAnsi="Times New Roman;Times;serif"/>
          <w:b/>
          <w:sz w:val="20"/>
        </w:rPr>
        <w:t xml:space="preserve">Stockholders’ equity </w:t>
      </w:r>
    </w:p>
    <w:p>
      <w:pPr>
        <w:pStyle w:val="TextBody"/>
        <w:shd w:fill="FFFFFF" w:val="clear"/>
        <w:bidi w:val="0"/>
        <w:spacing w:lineRule="auto" w:line="285" w:before="0" w:after="160"/>
        <w:ind w:left="0" w:right="0" w:hanging="0"/>
        <w:jc w:val="both"/>
        <w:rPr>
          <w:rFonts w:ascii="Times New Roman;Times;serif" w:hAnsi="Times New Roman;Times;serif"/>
          <w:b/>
          <w:color w:val="212529"/>
          <w:sz w:val="20"/>
        </w:rPr>
      </w:pPr>
      <w:r>
        <w:rPr>
          <w:rFonts w:ascii="Times New Roman;Times;serif" w:hAnsi="Times New Roman;Times;serif"/>
          <w:b/>
          <w:color w:val="212529"/>
          <w:sz w:val="20"/>
        </w:rPr>
        <w:t>Public offering</w:t>
      </w:r>
    </w:p>
    <w:p>
      <w:pPr>
        <w:pStyle w:val="TextBody"/>
        <w:bidi w:val="0"/>
        <w:spacing w:lineRule="auto" w:line="285" w:before="160" w:after="160"/>
        <w:ind w:left="0" w:right="0" w:hanging="0"/>
        <w:jc w:val="both"/>
        <w:rPr>
          <w:rFonts w:ascii="Times New Roman;Times;serif" w:hAnsi="Times New Roman;Times;serif"/>
          <w:sz w:val="20"/>
        </w:rPr>
      </w:pPr>
      <w:r>
        <w:rPr>
          <w:rFonts w:ascii="Times New Roman;Times;serif" w:hAnsi="Times New Roman;Times;serif"/>
          <w:sz w:val="20"/>
        </w:rPr>
        <w:t xml:space="preserve">In January 2026, we closed on an underwritten public offering and received net proceeds of $7.1 million, pursuant to which we issued and sold, (i) 1,006,870 Class A Units, with each Class A Unit consisting of (A) one share of common stock, (B) 1.5 Series C Common Warrants to purchase 1.5 shares of common stock, and (C) 1.5 Series D Common Warrants to purchase 1.5 shares of common stock, at a price of $3.10 per Class A Unit, and (ii) 1,998,704 Class B Units, with each Class B Unit consisting of (A) one pre-funded warrant to purchase one share of common stock, (B) 1.5 Series C Common Warrants to purchase 1.5 shares of common stock, and (C) 1.5 Series D Common Warrants to purchase 1.5 shares of common stock, at a purchase price of $3.099 per Class B Unit. </w:t>
      </w:r>
    </w:p>
    <w:p>
      <w:pPr>
        <w:pStyle w:val="TextBody"/>
        <w:bidi w:val="0"/>
        <w:spacing w:lineRule="auto" w:line="285" w:before="160" w:after="160"/>
        <w:ind w:left="0" w:right="0" w:hanging="0"/>
        <w:jc w:val="both"/>
        <w:rPr>
          <w:rFonts w:ascii="Times New Roman;Times;serif" w:hAnsi="Times New Roman;Times;serif"/>
          <w:sz w:val="24"/>
        </w:rPr>
      </w:pPr>
      <w:r>
        <w:rPr>
          <w:rFonts w:ascii="Times New Roman;Times;serif" w:hAnsi="Times New Roman;Times;serif"/>
          <w:sz w:val="20"/>
        </w:rPr>
        <w:t>Each pre-funded warrant has an exercise price of $0.001</w:t>
      </w:r>
      <w:r>
        <w:rPr>
          <w:rFonts w:ascii="Times New Roman;Times;serif" w:hAnsi="Times New Roman;Times;serif"/>
          <w:sz w:val="24"/>
        </w:rPr>
        <w:t> </w:t>
      </w:r>
      <w:r>
        <w:rPr>
          <w:rFonts w:ascii="Times New Roman;Times;serif" w:hAnsi="Times New Roman;Times;serif"/>
          <w:sz w:val="20"/>
        </w:rPr>
        <w:t>per share and is immediately exercisable and will expire when exercised in full. Each Series C Common Warrant and Series D Common Warrant has an exercise price of $3.10</w:t>
      </w:r>
      <w:r>
        <w:rPr>
          <w:rFonts w:ascii="Times New Roman;Times;serif" w:hAnsi="Times New Roman;Times;serif"/>
          <w:sz w:val="24"/>
        </w:rPr>
        <w:t> </w:t>
      </w:r>
      <w:r>
        <w:rPr>
          <w:rFonts w:ascii="Times New Roman;Times;serif" w:hAnsi="Times New Roman;Times;serif"/>
          <w:b w:val="false"/>
          <w:i w:val="false"/>
          <w:caps w:val="false"/>
          <w:smallCaps w:val="false"/>
          <w:sz w:val="20"/>
        </w:rPr>
        <w:t>per</w:t>
      </w:r>
      <w:r>
        <w:rPr>
          <w:rFonts w:ascii="Times New Roman;Times;serif" w:hAnsi="Times New Roman;Times;serif"/>
          <w:sz w:val="24"/>
        </w:rPr>
        <w:t> </w:t>
      </w:r>
      <w:r>
        <w:rPr>
          <w:rFonts w:ascii="Times New Roman;Times;serif" w:hAnsi="Times New Roman;Times;serif"/>
          <w:sz w:val="20"/>
        </w:rPr>
        <w:t xml:space="preserve">whole share of common stock, subject to certain adjustments, are immediately exercisable, and will expire on January 16, 2031 and January 16, 2028, respectively. Under the Series C Common Warrant and the Series D Common Warrant, we may not affect the exercise of any such warrants, and a holder will not be entitled to exercise any portion of any such warrants, which, upon giving effect to such exercise, would cause the aggregate number of shares of common stock beneficially owned by the holder (together with its affiliates) to exceed the beneficial ownership limitation contained therein. The Series D Common Warrants are callable at our option following the release of a positive data readout for our Phase 1, Part 3 clinical trial for DA-1726 via a widely disseminated press release, subject to the satisfaction of certain conditions. The Series C and Series D Common Warrants are fixed priced and do not contain any variable pricing features or alternative exercise provisions. </w:t>
      </w:r>
      <w:r>
        <w:rPr>
          <w:rFonts w:ascii="Times New Roman;Times;serif" w:hAnsi="Times New Roman;Times;serif"/>
          <w:color w:val="212529"/>
          <w:sz w:val="20"/>
          <w:shd w:fill="FFFFFF" w:val="clear"/>
        </w:rPr>
        <w:t>Based on the terms of the pre-funded warrants, the Series C Common Warrants and Series D Common Warrants, we have concluded that the accounting classification of these warrants is to be stockholders’ equity.</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11</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MetaVia Inc.</w:t>
      </w:r>
    </w:p>
    <w:p>
      <w:pPr>
        <w:pStyle w:val="TextBody"/>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Notes to the Condensed Consolidated Financial Statements</w:t>
      </w:r>
    </w:p>
    <w:p>
      <w:pPr>
        <w:pStyle w:val="TextBody"/>
        <w:bidi w:val="0"/>
        <w:spacing w:lineRule="auto" w:line="285" w:before="0" w:after="0"/>
        <w:ind w:left="0" w:right="0" w:hanging="0"/>
        <w:jc w:val="center"/>
        <w:rPr>
          <w:rFonts w:ascii="Times New Roman;Times;serif" w:hAnsi="Times New Roman;Times;serif"/>
          <w:sz w:val="16"/>
        </w:rPr>
      </w:pPr>
      <w:r>
        <w:rPr>
          <w:rFonts w:ascii="Times New Roman;Times;serif" w:hAnsi="Times New Roman;Times;serif"/>
          <w:sz w:val="16"/>
        </w:rPr>
        <w:t>(Unaudited)</w:t>
      </w:r>
    </w:p>
    <w:p>
      <w:pPr>
        <w:pStyle w:val="TextBody"/>
        <w:bidi w:val="0"/>
        <w:spacing w:lineRule="auto" w:line="285" w:before="0" w:after="0"/>
        <w:ind w:left="0" w:right="0" w:hanging="0"/>
        <w:jc w:val="left"/>
        <w:rPr/>
      </w:pPr>
      <w:r>
        <w:rPr/>
        <w:t>​</w:t>
      </w:r>
    </w:p>
    <w:p>
      <w:pPr>
        <w:pStyle w:val="TextBody"/>
        <w:bidi w:val="0"/>
        <w:spacing w:lineRule="auto" w:line="285" w:before="0" w:after="160"/>
        <w:ind w:left="0" w:right="0" w:hanging="0"/>
        <w:jc w:val="left"/>
        <w:rPr>
          <w:rFonts w:ascii="Times New Roman;Times;serif" w:hAnsi="Times New Roman;Times;serif"/>
          <w:sz w:val="20"/>
        </w:rPr>
      </w:pPr>
      <w:bookmarkStart w:id="558" w:name="Tc_Ovb6SA5X1UiGVyXpmsxaDg_7_0"/>
      <w:bookmarkStart w:id="559" w:name="Tc_gxVpLw1iOESXmYAH7N0hAA_6_0"/>
      <w:bookmarkStart w:id="560" w:name="Tc__TrFoC0-0UmpPdgdOXGjfw_5_0"/>
      <w:bookmarkStart w:id="561" w:name="Tc_uOZYrQSPTUSsBrYdtT_puw_4_0"/>
      <w:bookmarkStart w:id="562" w:name="Tc_FmoX0dBdP06ke-U_LXaxQQ_3_4"/>
      <w:bookmarkStart w:id="563" w:name="Tc_zlZVO7_cqEe-B8JX1iL3QQ_3_2"/>
      <w:bookmarkStart w:id="564" w:name="Tc_1ZI8qDJymEKX0DJt3pCVNw_3_0"/>
      <w:bookmarkStart w:id="565" w:name="Tc_R4orqZhhSkeKjcoaNPjPSg_2_4"/>
      <w:bookmarkStart w:id="566" w:name="Tc_2owLfM_Yc0eEI03cVx6D8g_2_2"/>
      <w:bookmarkStart w:id="567" w:name="Tc_uHdGdqXdNUO2hehg_Ai7uQ_1_4"/>
      <w:bookmarkStart w:id="568" w:name="Tc_qOR9A5pJoEyAwY7NkuIiRA_1_2"/>
      <w:bookmarkEnd w:id="558"/>
      <w:bookmarkEnd w:id="559"/>
      <w:bookmarkEnd w:id="560"/>
      <w:bookmarkEnd w:id="561"/>
      <w:bookmarkEnd w:id="562"/>
      <w:bookmarkEnd w:id="563"/>
      <w:bookmarkEnd w:id="564"/>
      <w:bookmarkEnd w:id="565"/>
      <w:bookmarkEnd w:id="566"/>
      <w:bookmarkEnd w:id="567"/>
      <w:bookmarkEnd w:id="568"/>
      <w:r>
        <w:rPr>
          <w:rFonts w:ascii="Times New Roman;Times;serif" w:hAnsi="Times New Roman;Times;serif"/>
          <w:sz w:val="20"/>
        </w:rPr>
        <w:t>The following table provides information on the warrants exercised during the three and six months ended June 30, 2026:</w:t>
      </w:r>
    </w:p>
    <w:p>
      <w:pPr>
        <w:pStyle w:val="TextBody"/>
        <w:bidi w:val="0"/>
        <w:spacing w:lineRule="auto" w:line="285" w:before="0" w:after="0"/>
        <w:ind w:left="0" w:right="0" w:hanging="0"/>
        <w:jc w:val="left"/>
        <w:rPr/>
      </w:pPr>
      <w:r>
        <w:rPr/>
        <w:t>​</w:t>
      </w:r>
    </w:p>
    <w:tbl>
      <w:tblPr>
        <w:tblW w:w="4901" w:type="dxa"/>
        <w:jc w:val="left"/>
        <w:tblInd w:w="0" w:type="dxa"/>
        <w:tblLayout w:type="fixed"/>
        <w:tblCellMar>
          <w:top w:w="0" w:type="dxa"/>
          <w:left w:w="0" w:type="dxa"/>
          <w:bottom w:w="0" w:type="dxa"/>
          <w:right w:w="0" w:type="dxa"/>
        </w:tblCellMar>
      </w:tblPr>
      <w:tblGrid>
        <w:gridCol w:w="2146"/>
        <w:gridCol w:w="109"/>
        <w:gridCol w:w="1246"/>
        <w:gridCol w:w="109"/>
        <w:gridCol w:w="1291"/>
      </w:tblGrid>
      <w:tr>
        <w:trPr/>
        <w:tc>
          <w:tcPr>
            <w:tcW w:w="2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1362710" cy="175260"/>
                      <wp:effectExtent l="0" t="0" r="0" b="0"/>
                      <wp:wrapNone/>
                      <wp:docPr id="82" name="Frame81"/>
                      <a:graphic xmlns:a="http://schemas.openxmlformats.org/drawingml/2006/main">
                        <a:graphicData uri="http://schemas.microsoft.com/office/word/2010/wordprocessingShape">
                          <wps:wsp>
                            <wps:cNvSpPr txBox="1"/>
                            <wps:spPr>
                              <a:xfrm>
                                <a:off x="0" y="0"/>
                                <a:ext cx="13627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9215" cy="175260"/>
                      <wp:effectExtent l="0" t="0" r="0" b="0"/>
                      <wp:wrapNone/>
                      <wp:docPr id="83" name="Frame8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2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791210" cy="175260"/>
                      <wp:effectExtent l="0" t="0" r="0" b="0"/>
                      <wp:wrapNone/>
                      <wp:docPr id="84" name="Frame83"/>
                      <a:graphic xmlns:a="http://schemas.openxmlformats.org/drawingml/2006/main">
                        <a:graphicData uri="http://schemas.microsoft.com/office/word/2010/wordprocessingShape">
                          <wps:wsp>
                            <wps:cNvSpPr txBox="1"/>
                            <wps:spPr>
                              <a:xfrm>
                                <a:off x="0" y="0"/>
                                <a:ext cx="7912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9215" cy="175260"/>
                      <wp:effectExtent l="0" t="0" r="0" b="0"/>
                      <wp:wrapNone/>
                      <wp:docPr id="85" name="Frame8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2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819785" cy="175260"/>
                      <wp:effectExtent l="0" t="0" r="0" b="0"/>
                      <wp:wrapNone/>
                      <wp:docPr id="86" name="Frame85"/>
                      <a:graphic xmlns:a="http://schemas.openxmlformats.org/drawingml/2006/main">
                        <a:graphicData uri="http://schemas.microsoft.com/office/word/2010/wordprocessingShape">
                          <wps:wsp>
                            <wps:cNvSpPr txBox="1"/>
                            <wps:spPr>
                              <a:xfrm>
                                <a:off x="0" y="0"/>
                                <a:ext cx="8197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r>
      <w:tr>
        <w:trPr/>
        <w:tc>
          <w:tcPr>
            <w:tcW w:w="2146"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1246" w:type="dxa"/>
            <w:tcBorders/>
            <w:vAlign w:val="center"/>
          </w:tcPr>
          <w:p>
            <w:pPr>
              <w:pStyle w:val="TableContents"/>
              <w:bidi w:val="0"/>
              <w:spacing w:lineRule="auto" w:line="285" w:before="1" w:after="1"/>
              <w:ind w:left="0" w:right="0" w:hanging="0"/>
              <w:jc w:val="center"/>
              <w:rPr>
                <w:rFonts w:ascii="Times New Roman;Times;serif" w:hAnsi="Times New Roman;Times;serif"/>
                <w:sz w:val="20"/>
              </w:rPr>
            </w:pPr>
            <w:r>
              <w:rPr>
                <w:rFonts w:ascii="Times New Roman;Times;serif" w:hAnsi="Times New Roman;Times;serif"/>
                <w:sz w:val="20"/>
              </w:rPr>
              <w:t>Three Months</w:t>
            </w:r>
          </w:p>
        </w:tc>
        <w:tc>
          <w:tcPr>
            <w:tcW w:w="109" w:type="dxa"/>
            <w:tcBorders/>
            <w:vAlign w:val="center"/>
          </w:tcPr>
          <w:p>
            <w:pPr>
              <w:pStyle w:val="TableContents"/>
              <w:bidi w:val="0"/>
              <w:spacing w:lineRule="auto" w:line="285" w:before="0" w:after="0"/>
              <w:ind w:left="0" w:right="0" w:hanging="0"/>
              <w:jc w:val="left"/>
              <w:rPr/>
            </w:pPr>
            <w:r>
              <w:rPr/>
              <w:t>​</w:t>
            </w:r>
          </w:p>
        </w:tc>
        <w:tc>
          <w:tcPr>
            <w:tcW w:w="1291" w:type="dxa"/>
            <w:tcBorders/>
            <w:vAlign w:val="center"/>
          </w:tcPr>
          <w:p>
            <w:pPr>
              <w:pStyle w:val="TableContents"/>
              <w:bidi w:val="0"/>
              <w:spacing w:lineRule="auto" w:line="285" w:before="1" w:after="1"/>
              <w:ind w:left="0" w:right="0" w:hanging="0"/>
              <w:jc w:val="center"/>
              <w:rPr>
                <w:rFonts w:ascii="Times New Roman;Times;serif" w:hAnsi="Times New Roman;Times;serif"/>
                <w:sz w:val="20"/>
              </w:rPr>
            </w:pPr>
            <w:r>
              <w:rPr>
                <w:rFonts w:ascii="Times New Roman;Times;serif" w:hAnsi="Times New Roman;Times;serif"/>
                <w:sz w:val="20"/>
              </w:rPr>
              <w:t>Six Months</w:t>
            </w:r>
          </w:p>
        </w:tc>
      </w:tr>
      <w:tr>
        <w:trPr/>
        <w:tc>
          <w:tcPr>
            <w:tcW w:w="2146"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1246" w:type="dxa"/>
            <w:tcBorders/>
            <w:vAlign w:val="center"/>
          </w:tcPr>
          <w:p>
            <w:pPr>
              <w:pStyle w:val="TableContents"/>
              <w:bidi w:val="0"/>
              <w:spacing w:lineRule="auto" w:line="285" w:before="1" w:after="1"/>
              <w:ind w:left="0" w:right="0" w:hanging="0"/>
              <w:jc w:val="center"/>
              <w:rPr>
                <w:rFonts w:ascii="Times New Roman;Times;serif" w:hAnsi="Times New Roman;Times;serif"/>
                <w:sz w:val="20"/>
              </w:rPr>
            </w:pPr>
            <w:r>
              <w:rPr>
                <w:rFonts w:ascii="Times New Roman;Times;serif" w:hAnsi="Times New Roman;Times;serif"/>
                <w:sz w:val="20"/>
              </w:rPr>
              <w:t xml:space="preserve">Ended </w:t>
            </w:r>
          </w:p>
        </w:tc>
        <w:tc>
          <w:tcPr>
            <w:tcW w:w="109" w:type="dxa"/>
            <w:tcBorders/>
            <w:vAlign w:val="center"/>
          </w:tcPr>
          <w:p>
            <w:pPr>
              <w:pStyle w:val="TableContents"/>
              <w:bidi w:val="0"/>
              <w:spacing w:lineRule="auto" w:line="285" w:before="0" w:after="0"/>
              <w:ind w:left="0" w:right="0" w:hanging="0"/>
              <w:jc w:val="left"/>
              <w:rPr/>
            </w:pPr>
            <w:r>
              <w:rPr/>
              <w:t>​</w:t>
            </w:r>
          </w:p>
        </w:tc>
        <w:tc>
          <w:tcPr>
            <w:tcW w:w="1291" w:type="dxa"/>
            <w:tcBorders/>
            <w:vAlign w:val="center"/>
          </w:tcPr>
          <w:p>
            <w:pPr>
              <w:pStyle w:val="TableContents"/>
              <w:bidi w:val="0"/>
              <w:spacing w:lineRule="auto" w:line="285" w:before="1" w:after="1"/>
              <w:ind w:left="0" w:right="0" w:hanging="0"/>
              <w:jc w:val="center"/>
              <w:rPr>
                <w:rFonts w:ascii="Times New Roman;Times;serif" w:hAnsi="Times New Roman;Times;serif"/>
                <w:sz w:val="20"/>
              </w:rPr>
            </w:pPr>
            <w:r>
              <w:rPr>
                <w:rFonts w:ascii="Times New Roman;Times;serif" w:hAnsi="Times New Roman;Times;serif"/>
                <w:sz w:val="20"/>
              </w:rPr>
              <w:t xml:space="preserve">Ended </w:t>
            </w:r>
          </w:p>
        </w:tc>
      </w:tr>
      <w:tr>
        <w:trPr/>
        <w:tc>
          <w:tcPr>
            <w:tcW w:w="2146" w:type="dxa"/>
            <w:tcBorders>
              <w:bottom w:val="single" w:sz="2" w:space="0" w:color="000000"/>
            </w:tcBorders>
            <w:tcMar>
              <w:bottom w:w="28" w:type="dxa"/>
            </w:tcMar>
            <w:vAlign w:val="center"/>
          </w:tcPr>
          <w:p>
            <w:pPr>
              <w:pStyle w:val="TableContents"/>
              <w:bidi w:val="0"/>
              <w:spacing w:lineRule="auto" w:line="285" w:before="1" w:after="1"/>
              <w:ind w:left="0" w:right="0" w:hanging="0"/>
              <w:jc w:val="left"/>
              <w:rPr>
                <w:rFonts w:ascii="Times New Roman;Times;serif" w:hAnsi="Times New Roman;Times;serif"/>
                <w:sz w:val="20"/>
              </w:rPr>
            </w:pPr>
            <w:r>
              <w:rPr>
                <w:rFonts w:ascii="Times New Roman;Times;serif" w:hAnsi="Times New Roman;Times;serif"/>
                <w:sz w:val="20"/>
              </w:rPr>
              <w:t>Warrant Issuance</w:t>
            </w:r>
          </w:p>
        </w:tc>
        <w:tc>
          <w:tcPr>
            <w:tcW w:w="109" w:type="dxa"/>
            <w:tcBorders>
              <w:bottom w:val="single" w:sz="2" w:space="0" w:color="000000"/>
            </w:tcBorders>
            <w:tcMar>
              <w:bottom w:w="28" w:type="dxa"/>
            </w:tcMar>
            <w:vAlign w:val="center"/>
          </w:tcPr>
          <w:p>
            <w:pPr>
              <w:pStyle w:val="TableContents"/>
              <w:bidi w:val="0"/>
              <w:spacing w:lineRule="auto" w:line="285" w:before="0" w:after="0"/>
              <w:ind w:left="0" w:right="0" w:hanging="0"/>
              <w:jc w:val="center"/>
              <w:rPr/>
            </w:pPr>
            <w:r>
              <w:rPr/>
              <w:t>​</w:t>
            </w:r>
          </w:p>
        </w:tc>
        <w:tc>
          <w:tcPr>
            <w:tcW w:w="1246" w:type="dxa"/>
            <w:tcBorders>
              <w:bottom w:val="single" w:sz="2" w:space="0" w:color="000000"/>
            </w:tcBorders>
            <w:tcMar>
              <w:bottom w:w="28" w:type="dxa"/>
            </w:tcMar>
            <w:vAlign w:val="center"/>
          </w:tcPr>
          <w:p>
            <w:pPr>
              <w:pStyle w:val="TableContents"/>
              <w:bidi w:val="0"/>
              <w:spacing w:lineRule="auto" w:line="285" w:before="1" w:after="1"/>
              <w:ind w:left="0" w:right="0" w:hanging="0"/>
              <w:jc w:val="center"/>
              <w:rPr>
                <w:rFonts w:ascii="Times New Roman;Times;serif" w:hAnsi="Times New Roman;Times;serif"/>
                <w:sz w:val="20"/>
              </w:rPr>
            </w:pPr>
            <w:r>
              <w:rPr>
                <w:rFonts w:ascii="Times New Roman;Times;serif" w:hAnsi="Times New Roman;Times;serif"/>
                <w:sz w:val="20"/>
              </w:rPr>
              <w:t>June 30, 2026</w:t>
            </w:r>
          </w:p>
        </w:tc>
        <w:tc>
          <w:tcPr>
            <w:tcW w:w="109"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1291" w:type="dxa"/>
            <w:tcBorders>
              <w:bottom w:val="single" w:sz="2" w:space="0" w:color="000000"/>
            </w:tcBorders>
            <w:tcMar>
              <w:bottom w:w="28" w:type="dxa"/>
            </w:tcMar>
            <w:vAlign w:val="center"/>
          </w:tcPr>
          <w:p>
            <w:pPr>
              <w:pStyle w:val="TableContents"/>
              <w:bidi w:val="0"/>
              <w:spacing w:lineRule="auto" w:line="285" w:before="1" w:after="1"/>
              <w:ind w:left="0" w:right="0" w:hanging="0"/>
              <w:jc w:val="center"/>
              <w:rPr>
                <w:rFonts w:ascii="Times New Roman;Times;serif" w:hAnsi="Times New Roman;Times;serif"/>
                <w:sz w:val="20"/>
              </w:rPr>
            </w:pPr>
            <w:r>
              <w:rPr>
                <w:rFonts w:ascii="Times New Roman;Times;serif" w:hAnsi="Times New Roman;Times;serif"/>
                <w:sz w:val="20"/>
              </w:rPr>
              <w:t>June 30, 2026</w:t>
            </w:r>
          </w:p>
        </w:tc>
      </w:tr>
      <w:tr>
        <w:trPr/>
        <w:tc>
          <w:tcPr>
            <w:tcW w:w="2146" w:type="dxa"/>
            <w:tcBorders/>
            <w:shd w:fill="CCEEFF" w:val="clear"/>
            <w:vAlign w:val="center"/>
          </w:tcPr>
          <w:p>
            <w:pPr>
              <w:pStyle w:val="TableContents"/>
              <w:bidi w:val="0"/>
              <w:spacing w:lineRule="auto" w:line="285" w:before="1" w:after="1"/>
              <w:ind w:left="0" w:right="0" w:hanging="0"/>
              <w:jc w:val="left"/>
              <w:rPr>
                <w:rFonts w:ascii="Times New Roman;Times;serif" w:hAnsi="Times New Roman;Times;serif"/>
                <w:sz w:val="20"/>
              </w:rPr>
            </w:pPr>
            <w:r>
              <w:rPr>
                <w:rFonts w:ascii="Times New Roman;Times;serif" w:hAnsi="Times New Roman;Times;serif"/>
                <w:sz w:val="20"/>
              </w:rPr>
              <w:t>January 2026 Pre-funded</w:t>
            </w:r>
          </w:p>
        </w:tc>
        <w:tc>
          <w:tcPr>
            <w:tcW w:w="109" w:type="dxa"/>
            <w:tcBorders/>
            <w:shd w:fill="CCEEFF" w:val="clear"/>
            <w:vAlign w:val="center"/>
          </w:tcPr>
          <w:p>
            <w:pPr>
              <w:pStyle w:val="TableContents"/>
              <w:bidi w:val="0"/>
              <w:spacing w:lineRule="auto" w:line="285" w:before="0" w:after="0"/>
              <w:ind w:left="0" w:right="0" w:hanging="0"/>
              <w:jc w:val="right"/>
              <w:rPr/>
            </w:pPr>
            <w:r>
              <w:rPr/>
              <w:t>​</w:t>
            </w:r>
          </w:p>
        </w:tc>
        <w:tc>
          <w:tcPr>
            <w:tcW w:w="1246" w:type="dxa"/>
            <w:tcBorders/>
            <w:shd w:fill="CCEEFF" w:val="clear"/>
            <w:vAlign w:val="center"/>
          </w:tcPr>
          <w:p>
            <w:pPr>
              <w:pStyle w:val="TableContents"/>
              <w:bidi w:val="0"/>
              <w:spacing w:lineRule="auto" w:line="285" w:before="1" w:after="1"/>
              <w:ind w:left="0" w:right="0" w:hanging="0"/>
              <w:jc w:val="right"/>
              <w:rPr>
                <w:rFonts w:ascii="Times New Roman;Times;serif" w:hAnsi="Times New Roman;Times;serif"/>
                <w:sz w:val="20"/>
              </w:rPr>
            </w:pPr>
            <w:r>
              <w:rPr>
                <w:rFonts w:ascii="Times New Roman;Times;serif" w:hAnsi="Times New Roman;Times;serif"/>
                <w:sz w:val="20"/>
              </w:rPr>
              <w:t>367,740</w:t>
            </w:r>
          </w:p>
        </w:tc>
        <w:tc>
          <w:tcPr>
            <w:tcW w:w="109" w:type="dxa"/>
            <w:tcBorders/>
            <w:shd w:fill="CCEEFF" w:val="clear"/>
            <w:vAlign w:val="center"/>
          </w:tcPr>
          <w:p>
            <w:pPr>
              <w:pStyle w:val="TableContents"/>
              <w:bidi w:val="0"/>
              <w:spacing w:lineRule="auto" w:line="285" w:before="0" w:after="0"/>
              <w:ind w:left="0" w:right="0" w:hanging="0"/>
              <w:jc w:val="right"/>
              <w:rPr/>
            </w:pPr>
            <w:r>
              <w:rPr/>
              <w:t>​</w:t>
            </w:r>
          </w:p>
        </w:tc>
        <w:tc>
          <w:tcPr>
            <w:tcW w:w="1291" w:type="dxa"/>
            <w:tcBorders/>
            <w:shd w:fill="CCEEFF" w:val="clear"/>
            <w:vAlign w:val="center"/>
          </w:tcPr>
          <w:p>
            <w:pPr>
              <w:pStyle w:val="TableContents"/>
              <w:bidi w:val="0"/>
              <w:spacing w:lineRule="auto" w:line="285" w:before="1" w:after="1"/>
              <w:ind w:left="0" w:right="0" w:hanging="0"/>
              <w:jc w:val="right"/>
              <w:rPr>
                <w:rFonts w:ascii="Times New Roman;Times;serif" w:hAnsi="Times New Roman;Times;serif"/>
                <w:sz w:val="20"/>
              </w:rPr>
            </w:pPr>
            <w:r>
              <w:rPr>
                <w:rFonts w:ascii="Times New Roman;Times;serif" w:hAnsi="Times New Roman;Times;serif"/>
                <w:sz w:val="20"/>
              </w:rPr>
              <w:t>1,998,704</w:t>
            </w:r>
          </w:p>
        </w:tc>
      </w:tr>
      <w:tr>
        <w:trPr/>
        <w:tc>
          <w:tcPr>
            <w:tcW w:w="2146" w:type="dxa"/>
            <w:tcBorders/>
            <w:vAlign w:val="center"/>
          </w:tcPr>
          <w:p>
            <w:pPr>
              <w:pStyle w:val="TableContents"/>
              <w:bidi w:val="0"/>
              <w:spacing w:lineRule="auto" w:line="285" w:before="1" w:after="1"/>
              <w:ind w:left="0" w:right="0" w:hanging="0"/>
              <w:jc w:val="left"/>
              <w:rPr>
                <w:rFonts w:ascii="Times New Roman;Times;serif" w:hAnsi="Times New Roman;Times;serif"/>
                <w:sz w:val="20"/>
              </w:rPr>
            </w:pPr>
            <w:r>
              <w:rPr>
                <w:rFonts w:ascii="Times New Roman;Times;serif" w:hAnsi="Times New Roman;Times;serif"/>
                <w:sz w:val="20"/>
              </w:rPr>
              <w:t>January 2026 Series C</w:t>
            </w:r>
          </w:p>
        </w:tc>
        <w:tc>
          <w:tcPr>
            <w:tcW w:w="109" w:type="dxa"/>
            <w:tcBorders/>
            <w:vAlign w:val="center"/>
          </w:tcPr>
          <w:p>
            <w:pPr>
              <w:pStyle w:val="TableContents"/>
              <w:bidi w:val="0"/>
              <w:spacing w:lineRule="auto" w:line="285" w:before="0" w:after="0"/>
              <w:ind w:left="0" w:right="0" w:hanging="0"/>
              <w:jc w:val="right"/>
              <w:rPr/>
            </w:pPr>
            <w:r>
              <w:rPr/>
              <w:t>​</w:t>
            </w:r>
          </w:p>
        </w:tc>
        <w:tc>
          <w:tcPr>
            <w:tcW w:w="1246" w:type="dxa"/>
            <w:tcBorders/>
            <w:vAlign w:val="center"/>
          </w:tcPr>
          <w:p>
            <w:pPr>
              <w:pStyle w:val="TableContents"/>
              <w:bidi w:val="0"/>
              <w:spacing w:lineRule="auto" w:line="285" w:before="1" w:after="1"/>
              <w:ind w:left="0" w:right="0" w:hanging="0"/>
              <w:jc w:val="right"/>
              <w:rPr>
                <w:rFonts w:ascii="Times New Roman;Times;serif" w:hAnsi="Times New Roman;Times;serif"/>
                <w:sz w:val="20"/>
              </w:rPr>
            </w:pPr>
            <w:r>
              <w:rPr>
                <w:rFonts w:ascii="Times New Roman;Times;serif" w:hAnsi="Times New Roman;Times;serif"/>
                <w:sz w:val="20"/>
              </w:rPr>
              <w:t>30,039</w:t>
            </w:r>
          </w:p>
        </w:tc>
        <w:tc>
          <w:tcPr>
            <w:tcW w:w="109" w:type="dxa"/>
            <w:tcBorders/>
            <w:vAlign w:val="center"/>
          </w:tcPr>
          <w:p>
            <w:pPr>
              <w:pStyle w:val="TableContents"/>
              <w:bidi w:val="0"/>
              <w:spacing w:lineRule="auto" w:line="285" w:before="0" w:after="0"/>
              <w:ind w:left="0" w:right="0" w:hanging="0"/>
              <w:jc w:val="right"/>
              <w:rPr/>
            </w:pPr>
            <w:r>
              <w:rPr/>
              <w:t>​</w:t>
            </w:r>
          </w:p>
        </w:tc>
        <w:tc>
          <w:tcPr>
            <w:tcW w:w="1291" w:type="dxa"/>
            <w:tcBorders/>
            <w:vAlign w:val="center"/>
          </w:tcPr>
          <w:p>
            <w:pPr>
              <w:pStyle w:val="TableContents"/>
              <w:bidi w:val="0"/>
              <w:spacing w:lineRule="auto" w:line="285" w:before="1" w:after="1"/>
              <w:ind w:left="0" w:right="0" w:hanging="0"/>
              <w:jc w:val="right"/>
              <w:rPr>
                <w:rFonts w:ascii="Times New Roman;Times;serif" w:hAnsi="Times New Roman;Times;serif"/>
                <w:sz w:val="20"/>
              </w:rPr>
            </w:pPr>
            <w:r>
              <w:rPr>
                <w:rFonts w:ascii="Times New Roman;Times;serif" w:hAnsi="Times New Roman;Times;serif"/>
                <w:sz w:val="20"/>
              </w:rPr>
              <w:t>30,039</w:t>
            </w:r>
          </w:p>
        </w:tc>
      </w:tr>
      <w:tr>
        <w:trPr/>
        <w:tc>
          <w:tcPr>
            <w:tcW w:w="2146" w:type="dxa"/>
            <w:tcBorders>
              <w:bottom w:val="single" w:sz="2" w:space="0" w:color="000000"/>
            </w:tcBorders>
            <w:shd w:fill="CCEEFF" w:val="clear"/>
            <w:tcMar>
              <w:bottom w:w="28" w:type="dxa"/>
            </w:tcMar>
            <w:vAlign w:val="center"/>
          </w:tcPr>
          <w:p>
            <w:pPr>
              <w:pStyle w:val="TableContents"/>
              <w:bidi w:val="0"/>
              <w:spacing w:lineRule="auto" w:line="285" w:before="1" w:after="1"/>
              <w:ind w:left="0" w:right="0" w:hanging="0"/>
              <w:jc w:val="left"/>
              <w:rPr>
                <w:rFonts w:ascii="Times New Roman;Times;serif" w:hAnsi="Times New Roman;Times;serif"/>
                <w:sz w:val="20"/>
              </w:rPr>
            </w:pPr>
            <w:r>
              <w:rPr>
                <w:rFonts w:ascii="Times New Roman;Times;serif" w:hAnsi="Times New Roman;Times;serif"/>
                <w:sz w:val="20"/>
              </w:rPr>
              <w:t>January 2026 Series D</w:t>
            </w:r>
          </w:p>
        </w:tc>
        <w:tc>
          <w:tcPr>
            <w:tcW w:w="109"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pPr>
            <w:r>
              <w:rPr/>
              <w:t>​</w:t>
            </w:r>
          </w:p>
        </w:tc>
        <w:tc>
          <w:tcPr>
            <w:tcW w:w="1246" w:type="dxa"/>
            <w:tcBorders>
              <w:bottom w:val="single" w:sz="2" w:space="0" w:color="000000"/>
            </w:tcBorders>
            <w:shd w:fill="CCEEFF" w:val="clear"/>
            <w:tcMar>
              <w:bottom w:w="28" w:type="dxa"/>
            </w:tcMar>
            <w:vAlign w:val="center"/>
          </w:tcPr>
          <w:p>
            <w:pPr>
              <w:pStyle w:val="TableContents"/>
              <w:bidi w:val="0"/>
              <w:spacing w:lineRule="auto" w:line="285" w:before="1" w:after="1"/>
              <w:ind w:left="0" w:right="0" w:hanging="0"/>
              <w:jc w:val="right"/>
              <w:rPr>
                <w:rFonts w:ascii="Times New Roman;Times;serif" w:hAnsi="Times New Roman;Times;serif"/>
                <w:sz w:val="20"/>
              </w:rPr>
            </w:pPr>
            <w:r>
              <w:rPr>
                <w:rFonts w:ascii="Times New Roman;Times;serif" w:hAnsi="Times New Roman;Times;serif"/>
                <w:sz w:val="20"/>
              </w:rPr>
              <w:t>749,539</w:t>
            </w:r>
          </w:p>
        </w:tc>
        <w:tc>
          <w:tcPr>
            <w:tcW w:w="109"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pPr>
            <w:r>
              <w:rPr/>
              <w:t>​</w:t>
            </w:r>
          </w:p>
        </w:tc>
        <w:tc>
          <w:tcPr>
            <w:tcW w:w="1291" w:type="dxa"/>
            <w:tcBorders>
              <w:bottom w:val="single" w:sz="2" w:space="0" w:color="000000"/>
            </w:tcBorders>
            <w:shd w:fill="CCEEFF" w:val="clear"/>
            <w:tcMar>
              <w:bottom w:w="28" w:type="dxa"/>
            </w:tcMar>
            <w:vAlign w:val="center"/>
          </w:tcPr>
          <w:p>
            <w:pPr>
              <w:pStyle w:val="TableContents"/>
              <w:bidi w:val="0"/>
              <w:spacing w:lineRule="auto" w:line="285" w:before="1" w:after="1"/>
              <w:ind w:left="0" w:right="0" w:hanging="0"/>
              <w:jc w:val="right"/>
              <w:rPr>
                <w:rFonts w:ascii="Times New Roman;Times;serif" w:hAnsi="Times New Roman;Times;serif"/>
                <w:sz w:val="20"/>
              </w:rPr>
            </w:pPr>
            <w:r>
              <w:rPr>
                <w:rFonts w:ascii="Times New Roman;Times;serif" w:hAnsi="Times New Roman;Times;serif"/>
                <w:sz w:val="20"/>
              </w:rPr>
              <w:t>749,539</w:t>
            </w:r>
          </w:p>
        </w:tc>
      </w:tr>
      <w:tr>
        <w:trPr/>
        <w:tc>
          <w:tcPr>
            <w:tcW w:w="2146" w:type="dxa"/>
            <w:tcBorders>
              <w:bottom w:val="double" w:sz="6" w:space="0" w:color="000000"/>
            </w:tcBorders>
            <w:tcMar>
              <w:bottom w:w="28" w:type="dxa"/>
            </w:tcMar>
            <w:vAlign w:val="center"/>
          </w:tcPr>
          <w:p>
            <w:pPr>
              <w:pStyle w:val="TableContents"/>
              <w:bidi w:val="0"/>
              <w:spacing w:lineRule="auto" w:line="285" w:before="1" w:after="1"/>
              <w:ind w:left="0" w:right="0" w:hanging="0"/>
              <w:jc w:val="left"/>
              <w:rPr>
                <w:rFonts w:ascii="Times New Roman;Times;serif" w:hAnsi="Times New Roman;Times;serif"/>
                <w:sz w:val="20"/>
              </w:rPr>
            </w:pPr>
            <w:r>
              <w:rPr>
                <w:rFonts w:ascii="Times New Roman;Times;serif" w:hAnsi="Times New Roman;Times;serif"/>
                <w:sz w:val="20"/>
              </w:rPr>
              <w:t>Total exercised warrants</w:t>
            </w:r>
          </w:p>
        </w:tc>
        <w:tc>
          <w:tcPr>
            <w:tcW w:w="109"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1246" w:type="dxa"/>
            <w:tcBorders>
              <w:bottom w:val="double" w:sz="6" w:space="0" w:color="000000"/>
            </w:tcBorders>
            <w:tcMar>
              <w:bottom w:w="28" w:type="dxa"/>
            </w:tcMar>
            <w:vAlign w:val="center"/>
          </w:tcPr>
          <w:p>
            <w:pPr>
              <w:pStyle w:val="TableContents"/>
              <w:bidi w:val="0"/>
              <w:spacing w:lineRule="auto" w:line="285" w:before="1" w:after="1"/>
              <w:ind w:left="0" w:right="0" w:hanging="0"/>
              <w:jc w:val="right"/>
              <w:rPr>
                <w:rFonts w:ascii="Times New Roman;Times;serif" w:hAnsi="Times New Roman;Times;serif"/>
                <w:sz w:val="20"/>
              </w:rPr>
            </w:pPr>
            <w:r>
              <w:rPr>
                <w:rFonts w:ascii="Times New Roman;Times;serif" w:hAnsi="Times New Roman;Times;serif"/>
                <w:sz w:val="20"/>
              </w:rPr>
              <w:t>1,147,318</w:t>
            </w:r>
          </w:p>
        </w:tc>
        <w:tc>
          <w:tcPr>
            <w:tcW w:w="109"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1291" w:type="dxa"/>
            <w:tcBorders>
              <w:bottom w:val="double" w:sz="6" w:space="0" w:color="000000"/>
            </w:tcBorders>
            <w:tcMar>
              <w:bottom w:w="28" w:type="dxa"/>
            </w:tcMar>
            <w:vAlign w:val="center"/>
          </w:tcPr>
          <w:p>
            <w:pPr>
              <w:pStyle w:val="TableContents"/>
              <w:bidi w:val="0"/>
              <w:spacing w:lineRule="auto" w:line="285" w:before="1" w:after="1"/>
              <w:ind w:left="0" w:right="70" w:hanging="0"/>
              <w:jc w:val="right"/>
              <w:rPr>
                <w:rFonts w:ascii="Times New Roman;Times;serif" w:hAnsi="Times New Roman;Times;serif"/>
                <w:sz w:val="20"/>
              </w:rPr>
            </w:pPr>
            <w:r>
              <w:rPr>
                <w:rFonts w:ascii="Times New Roman;Times;serif" w:hAnsi="Times New Roman;Times;serif"/>
                <w:sz w:val="20"/>
              </w:rPr>
              <w:t>2,778,282</w:t>
            </w:r>
          </w:p>
        </w:tc>
      </w:tr>
    </w:tbl>
    <w:p>
      <w:pPr>
        <w:pStyle w:val="TextBody"/>
        <w:bidi w:val="0"/>
        <w:spacing w:lineRule="auto" w:line="285" w:before="0" w:after="0"/>
        <w:ind w:left="0" w:right="0" w:hanging="0"/>
        <w:jc w:val="left"/>
        <w:rPr/>
      </w:pPr>
      <w:r>
        <w:rPr/>
        <w:t>​</w:t>
      </w:r>
    </w:p>
    <w:p>
      <w:pPr>
        <w:pStyle w:val="TextBody"/>
        <w:pBdr/>
        <w:shd w:fill="FFFFFF" w:val="clear"/>
        <w:bidi w:val="0"/>
        <w:spacing w:lineRule="auto" w:line="285" w:before="160" w:after="0"/>
        <w:ind w:left="0" w:right="0" w:hanging="0"/>
        <w:jc w:val="both"/>
        <w:rPr>
          <w:rFonts w:ascii="Times New Roman;Times;serif" w:hAnsi="Times New Roman;Times;serif"/>
          <w:b/>
          <w:color w:val="212529"/>
          <w:sz w:val="20"/>
        </w:rPr>
      </w:pPr>
      <w:r>
        <w:rPr>
          <w:rFonts w:ascii="Times New Roman;Times;serif" w:hAnsi="Times New Roman;Times;serif"/>
          <w:b/>
          <w:color w:val="212529"/>
          <w:sz w:val="20"/>
        </w:rPr>
        <w:t>At the market offering</w:t>
      </w:r>
    </w:p>
    <w:p>
      <w:pPr>
        <w:pStyle w:val="TextBody"/>
        <w:pBdr/>
        <w:shd w:fill="FFFFFF" w:val="clear"/>
        <w:bidi w:val="0"/>
        <w:spacing w:lineRule="auto" w:line="285" w:before="0" w:after="0"/>
        <w:ind w:left="0" w:right="0" w:hanging="0"/>
        <w:jc w:val="both"/>
        <w:rPr>
          <w:rFonts w:ascii="Times New Roman;Times;serif" w:hAnsi="Times New Roman;Times;serif"/>
          <w:sz w:val="20"/>
        </w:rPr>
      </w:pPr>
      <w:r>
        <w:rPr>
          <w:rFonts w:ascii="Times New Roman;Times;serif" w:hAnsi="Times New Roman;Times;serif"/>
          <w:sz w:val="20"/>
        </w:rPr>
        <w:t>In November 2025, we entered into an At The Market Offering Agreement (the “ATM Sales Agreement”) with Ladenburg Thalmann &amp; Co. Inc., as sales agent and/or principal (“Ladenburg”), pursuant to which we could offer and sell, from time to time through or to Ladenburg, shares of our common stock having an aggregate offering price of up to $2.3 million (the “ATM Program”) through June 30, 2026. The offer and sale of the shares of common stock pursuant to the ATM Program through June 30, 2026 was made pursuant to a shelf registration statement on Form S-3 and the related prospectus (File No. 333-278646) filed with the SEC on April 12, 2024, and declared effective by the SEC on April 23, 2024, as supplemented by a prospectus supplement filed with the SEC on November 6, 2025 pursuant to Rule 424(b) under the Securities Act.</w:t>
      </w:r>
    </w:p>
    <w:p>
      <w:pPr>
        <w:pStyle w:val="TextBody"/>
        <w:pBdr/>
        <w:shd w:fill="FFFFFF" w:val="clear"/>
        <w:bidi w:val="0"/>
        <w:spacing w:lineRule="auto" w:line="285" w:before="0" w:after="0"/>
        <w:ind w:left="0" w:right="0" w:hanging="0"/>
        <w:jc w:val="both"/>
        <w:rPr>
          <w:rFonts w:ascii="Times New Roman;Times;serif" w:hAnsi="Times New Roman;Times;serif"/>
          <w:sz w:val="20"/>
        </w:rPr>
      </w:pPr>
      <w:r>
        <w:rPr>
          <w:rFonts w:ascii="Times New Roman;Times;serif" w:hAnsi="Times New Roman;Times;serif"/>
          <w:sz w:val="20"/>
        </w:rPr>
        <w:t>Pursuant to the ATM Sales Agreement, Ladenburg may sell the shares by any method permitted by law deemed to be an “at the market offering” as defined in Rule 415(a)(4) of the Securities Act. We are not obligated to make any sales of the shares under the ATM Sales Agreement. The offering of shares pursuant to the ATM Sales Agreement will terminate upon the termination of the ATM Sales Agreement by Ladenburg or us, as permitted therein. We are obligated to pay Ladenburg an aggregate sales agent commission of 3.0% of the gross sales price of the shares sold pursuant to the ATM Sales Agreement. We will also reimburse Ladenburg for certain specified expenses in connection with entering into the ATM Sales Agreement, which contains customary representations and warranties and conditions to the placements of the shares pursuant thereto.</w:t>
      </w:r>
    </w:p>
    <w:p>
      <w:pPr>
        <w:pStyle w:val="TextBody"/>
        <w:pBdr/>
        <w:shd w:fill="FFFFFF" w:val="clear"/>
        <w:bidi w:val="0"/>
        <w:spacing w:lineRule="auto" w:line="285" w:before="0" w:after="0"/>
        <w:ind w:left="0" w:right="0" w:hanging="0"/>
        <w:jc w:val="both"/>
        <w:rPr>
          <w:rFonts w:ascii="Times New Roman;Times;serif" w:hAnsi="Times New Roman;Times;serif"/>
          <w:sz w:val="20"/>
        </w:rPr>
      </w:pPr>
      <w:r>
        <w:rPr>
          <w:rFonts w:ascii="Times New Roman;Times;serif" w:hAnsi="Times New Roman;Times;serif"/>
          <w:sz w:val="20"/>
        </w:rPr>
        <w:t xml:space="preserve">In 2026, we sold 422,919 shares of common stock under the ATM Program and received net proceeds of $0.7 million, net of sales agent commission and related offering expenses. As of June 30, 2026, we had $0.2 million remaining under the ATM Program in which we may offer and sell shares of our common stock. On July 2, 2026, we increased the size of the ATM Program to allow the offer and sale of shares of our common stock having an aggregate offering price of up to $4.0 million. </w:t>
      </w:r>
    </w:p>
    <w:p>
      <w:pPr>
        <w:pStyle w:val="TextBody"/>
        <w:pBdr/>
        <w:shd w:fill="FFFFFF" w:val="clear"/>
        <w:bidi w:val="0"/>
        <w:spacing w:lineRule="auto" w:line="285" w:before="0" w:after="0"/>
        <w:ind w:left="0" w:right="0" w:hanging="0"/>
        <w:jc w:val="both"/>
        <w:rPr>
          <w:rFonts w:ascii="Times New Roman;Times;serif" w:hAnsi="Times New Roman;Times;serif"/>
          <w:b/>
          <w:color w:val="212529"/>
          <w:sz w:val="20"/>
        </w:rPr>
      </w:pPr>
      <w:r>
        <w:rPr>
          <w:rFonts w:ascii="Times New Roman;Times;serif" w:hAnsi="Times New Roman;Times;serif"/>
          <w:b/>
          <w:color w:val="212529"/>
          <w:sz w:val="20"/>
        </w:rPr>
        <w:t>Private placement</w:t>
      </w:r>
    </w:p>
    <w:p>
      <w:pPr>
        <w:pStyle w:val="TextBody"/>
        <w:pBdr/>
        <w:shd w:fill="FFFFFF" w:val="clear"/>
        <w:bidi w:val="0"/>
        <w:spacing w:lineRule="auto" w:line="285" w:before="0" w:after="0"/>
        <w:ind w:left="0" w:right="0" w:hanging="0"/>
        <w:jc w:val="both"/>
        <w:rPr>
          <w:rFonts w:ascii="Times New Roman;Times;serif" w:hAnsi="Times New Roman;Times;serif"/>
          <w:sz w:val="20"/>
        </w:rPr>
      </w:pPr>
      <w:r>
        <w:rPr>
          <w:rFonts w:ascii="Times New Roman;Times;serif" w:hAnsi="Times New Roman;Times;serif"/>
          <w:color w:val="212529"/>
          <w:sz w:val="20"/>
        </w:rPr>
        <w:t>In Ma</w:t>
      </w:r>
      <w:r>
        <w:rPr>
          <w:rFonts w:ascii="Times New Roman;Times;serif" w:hAnsi="Times New Roman;Times;serif"/>
          <w:sz w:val="20"/>
        </w:rPr>
        <w:t>y 2025, we closed on a private placement offering with Dong-A ST and Dong-A Socio Holdings Co., Ltd., an affiliate company of Dong-A ST, and received net proceeds of $9.1 million, net of placement agent cash fees of $0.4 million and related offering expenses of $0.5 million. The private placement offering was comprised of (i) 861,758 shares of our common stock for a purchase price of $7.81 per share, and (ii) 418,651 pre-funded warrants to purchase up to an equivalent number of shares of our common stock for a purchase price of $7.799 per pre-funded warrant.</w:t>
      </w:r>
    </w:p>
    <w:p>
      <w:pPr>
        <w:pStyle w:val="TextBody"/>
        <w:pBdr/>
        <w:shd w:fill="FFFFFF" w:val="clear"/>
        <w:bidi w:val="0"/>
        <w:spacing w:lineRule="auto" w:line="285" w:before="0" w:after="0"/>
        <w:ind w:left="0" w:right="0" w:hanging="0"/>
        <w:jc w:val="both"/>
        <w:rPr>
          <w:rFonts w:ascii="Times New Roman;Times;serif" w:hAnsi="Times New Roman;Times;serif"/>
          <w:sz w:val="20"/>
        </w:rPr>
      </w:pPr>
      <w:r>
        <w:rPr>
          <w:rFonts w:ascii="Times New Roman;Times;serif" w:hAnsi="Times New Roman;Times;serif"/>
          <w:sz w:val="20"/>
        </w:rPr>
        <w:t>Each pre-funded warrant had an exercise price of $0.011 per share, and was exercisable beginning on June 30, 2025, which was the effective date of receiving stockholder approval for the issuance of the shares of common stock underlying the pre-funded warrants. Thereafter, on the same date, all pre-funded warrants were exercised for an equivalent number of shares of our common stock.</w:t>
      </w:r>
    </w:p>
    <w:p>
      <w:pPr>
        <w:pStyle w:val="TextBody"/>
        <w:shd w:fill="FFFFFF" w:val="clear"/>
        <w:bidi w:val="0"/>
        <w:spacing w:lineRule="auto" w:line="285" w:before="0" w:after="160"/>
        <w:ind w:left="0" w:right="0" w:hanging="0"/>
        <w:jc w:val="both"/>
        <w:rPr>
          <w:rFonts w:ascii="Times New Roman;Times;serif" w:hAnsi="Times New Roman;Times;serif"/>
          <w:b/>
          <w:color w:val="212529"/>
          <w:sz w:val="20"/>
        </w:rPr>
      </w:pPr>
      <w:r>
        <w:rPr>
          <w:rFonts w:ascii="Times New Roman;Times;serif" w:hAnsi="Times New Roman;Times;serif"/>
          <w:b/>
          <w:color w:val="212529"/>
          <w:sz w:val="20"/>
        </w:rPr>
        <w:t>Common stock issued for professional services</w:t>
      </w:r>
    </w:p>
    <w:p>
      <w:pPr>
        <w:pStyle w:val="TextBody"/>
        <w:bidi w:val="0"/>
        <w:spacing w:lineRule="auto" w:line="285" w:before="0" w:after="160"/>
        <w:ind w:left="0" w:right="0" w:hanging="0"/>
        <w:jc w:val="both"/>
        <w:rPr>
          <w:rFonts w:ascii="Times New Roman;Times;serif" w:hAnsi="Times New Roman;Times;serif"/>
          <w:sz w:val="20"/>
        </w:rPr>
      </w:pPr>
      <w:r>
        <w:rPr>
          <w:rFonts w:ascii="Times New Roman;Times;serif" w:hAnsi="Times New Roman;Times;serif"/>
          <w:sz w:val="20"/>
        </w:rPr>
        <w:t>In May 2026, we issued 50,000 shares of common stock based on a closing price of $2.89 per share on the date of issuance to a vendor for business advisory services provided by the vendor. Accordingly, we recorded an expense of approximately $0.1 million during the three and six months ended June 30, 2026</w:t>
      </w:r>
      <w:r>
        <w:rPr>
          <w:rFonts w:ascii="Times New Roman;Times;serif" w:hAnsi="Times New Roman;Times;serif"/>
          <w:sz w:val="20"/>
          <w:shd w:fill="FFFFFF" w:val="clear"/>
        </w:rPr>
        <w:t xml:space="preserve">, which was included in </w:t>
      </w:r>
      <w:r>
        <w:rPr>
          <w:rFonts w:ascii="Times New Roman;Times;serif" w:hAnsi="Times New Roman;Times;serif"/>
          <w:sz w:val="20"/>
        </w:rPr>
        <w:t>G&amp;A operating expenses.</w:t>
      </w:r>
      <w:r>
        <w:rPr>
          <w:rFonts w:ascii="Times New Roman;Times;serif" w:hAnsi="Times New Roman;Times;serif"/>
          <w:sz w:val="20"/>
          <w:shd w:fill="FFFFFF" w:val="clear"/>
        </w:rPr>
        <w:t xml:space="preserve"> </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12</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MetaVia Inc.</w:t>
      </w:r>
    </w:p>
    <w:p>
      <w:pPr>
        <w:pStyle w:val="TextBody"/>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Notes to the Condensed Consolidated Financial Statements</w:t>
      </w:r>
    </w:p>
    <w:p>
      <w:pPr>
        <w:pStyle w:val="TextBody"/>
        <w:bidi w:val="0"/>
        <w:spacing w:lineRule="auto" w:line="285" w:before="0" w:after="0"/>
        <w:ind w:left="0" w:right="0" w:hanging="0"/>
        <w:jc w:val="center"/>
        <w:rPr>
          <w:rFonts w:ascii="Times New Roman;Times;serif" w:hAnsi="Times New Roman;Times;serif"/>
          <w:sz w:val="16"/>
        </w:rPr>
      </w:pPr>
      <w:r>
        <w:rPr>
          <w:rFonts w:ascii="Times New Roman;Times;serif" w:hAnsi="Times New Roman;Times;serif"/>
          <w:sz w:val="16"/>
        </w:rPr>
        <w:t>(Unaudited)</w:t>
      </w:r>
    </w:p>
    <w:p>
      <w:pPr>
        <w:pStyle w:val="TextBody"/>
        <w:bidi w:val="0"/>
        <w:spacing w:lineRule="auto" w:line="285" w:before="0" w:after="0"/>
        <w:ind w:left="0" w:right="0" w:hanging="0"/>
        <w:jc w:val="left"/>
        <w:rPr/>
      </w:pPr>
      <w:r>
        <w:rPr/>
        <w:t>​</w:t>
      </w:r>
    </w:p>
    <w:p>
      <w:pPr>
        <w:pStyle w:val="TextBody"/>
        <w:bidi w:val="0"/>
        <w:spacing w:lineRule="auto" w:line="285" w:before="0" w:after="160"/>
        <w:ind w:left="0" w:right="0" w:hanging="0"/>
        <w:jc w:val="left"/>
        <w:rPr>
          <w:rFonts w:ascii="Times New Roman;Times;serif" w:hAnsi="Times New Roman;Times;serif"/>
          <w:b/>
          <w:sz w:val="20"/>
        </w:rPr>
      </w:pPr>
      <w:bookmarkStart w:id="569" w:name="Tc_hranaVUti0elqCeDD9YNjg_7_0"/>
      <w:bookmarkStart w:id="570" w:name="Tc_gW_4FV5Fo0--cGsckPAzvQ_6_4"/>
      <w:bookmarkStart w:id="571" w:name="Tc_XQXzHuNjXUeVG1Tv_yBVFQ_6_2"/>
      <w:bookmarkStart w:id="572" w:name="Tc_pcHSvlN7JEKzyloNRNC7Hw_6_0"/>
      <w:bookmarkStart w:id="573" w:name="Tc_y_MUIUPQMEWp3exfUbeF6g_5_0"/>
      <w:bookmarkStart w:id="574" w:name="Tc_mXGd0Dn7YUyvQBhRhx9-qA_4_6"/>
      <w:bookmarkStart w:id="575" w:name="Tc_1-f1ShS5DEW1ESzpr_F7dQ_4_4"/>
      <w:bookmarkStart w:id="576" w:name="Tc_WzeTm_sa2E6pK2ZSxW0xMQ_4_0"/>
      <w:bookmarkStart w:id="577" w:name="Tc_NePdjFkvMESK_4NrCg-tfg_3_6"/>
      <w:bookmarkStart w:id="578" w:name="Tc_kCGA5YrG70yMwEvXhvtF6A_3_4"/>
      <w:bookmarkStart w:id="579" w:name="Tc_ovMiMm6-skKOCf3BzzyMpw_3_2"/>
      <w:bookmarkStart w:id="580" w:name="Tc_QoHYcjnNGUeGeexcc-e8tw_3_0"/>
      <w:bookmarkStart w:id="581" w:name="Tc_IVqHylUwx0u4EnLXGcQn8w_2_6"/>
      <w:bookmarkStart w:id="582" w:name="Tc_xNfWJAOx9U-GSKGuJ1l7CA_2_2"/>
      <w:bookmarkStart w:id="583" w:name="Tc_zFpPC7V8wkS8T7syU2GoMg_1_6"/>
      <w:bookmarkStart w:id="584" w:name="Tc_QUd3geOBXkqt6AmkIDTwjA_11_0"/>
      <w:bookmarkStart w:id="585" w:name="Tc_E8IMkMqFTEGzeFUGIzpY1w_10_9"/>
      <w:bookmarkStart w:id="586" w:name="Tc_oMBPbkAN60axpDu8w_BF-A_10_6"/>
      <w:bookmarkStart w:id="587" w:name="Tc_8Z6qX8C7eE-RnU73W0PG6g_10_4"/>
      <w:bookmarkStart w:id="588" w:name="Tc_PpQBIX9WzkORCcLrM7OWhg_10_0"/>
      <w:bookmarkStart w:id="589" w:name="Tc_hTIvOnrlzUOZnYJOOziCYg_9_9"/>
      <w:bookmarkStart w:id="590" w:name="Tc_h3wX2g-Q00CPJKcMaZ-vcg_9_6"/>
      <w:bookmarkStart w:id="591" w:name="Tc_0DE1rpqKH0Opd-FJenQJgQ_9_4"/>
      <w:bookmarkStart w:id="592" w:name="Tc_eGfk5a0i4Eu-CqU-YyFqDA_9_0"/>
      <w:bookmarkStart w:id="593" w:name="Tc_DlYnVtz2g0Kwm0rk9U2r6Q_8_9"/>
      <w:bookmarkStart w:id="594" w:name="Tc_R67hyvRb00ao88quAGHSyQ_8_6"/>
      <w:bookmarkStart w:id="595" w:name="Tc_Y8aR6Y1ByUa5GtOyqzXHFQ_8_0"/>
      <w:bookmarkStart w:id="596" w:name="Tc_KYyQWMJlc0Ge3w--iOJbhw_7_9"/>
      <w:bookmarkStart w:id="597" w:name="Tc_mlVDcS-rmka5jBILIZWv0g_7_6"/>
      <w:bookmarkStart w:id="598" w:name="Tc_oF4N1j17iEmAilqUmM8kKQ_7_0"/>
      <w:bookmarkStart w:id="599" w:name="Tc_9QaS-MlA6UyIOoKqapBOEw_6_9"/>
      <w:bookmarkStart w:id="600" w:name="Tc_ge6QSGqBtkmuq1RR_XoG8w_6_6"/>
      <w:bookmarkStart w:id="601" w:name="Tc_d0i9DBWirUaXsN3Tdy9grQ_6_0"/>
      <w:bookmarkStart w:id="602" w:name="Tc_JNbRAMP9D0eFJK82OobY_g_5_9"/>
      <w:bookmarkStart w:id="603" w:name="Tc_Y8Lxn9-8bEeXI4lC-YoamA_5_6"/>
      <w:bookmarkStart w:id="604" w:name="Tc_7K7H9MOq406Z0TTS5PRQew_5_0"/>
      <w:bookmarkStart w:id="605" w:name="Tc_rjiwSv-LkEaqEpflywyX-A_4_9"/>
      <w:bookmarkStart w:id="606" w:name="Tc_0_5HcdRMM024Uf9eX5w0eg_4_6"/>
      <w:bookmarkStart w:id="607" w:name="Tc_lE2CVvPcoEiBlmY-1TRp_A_4_4"/>
      <w:bookmarkStart w:id="608" w:name="Tc_iPrG7iNDBUqiKN19ynbvnQ_4_2"/>
      <w:bookmarkStart w:id="609" w:name="Tc_B57cI3kXzEinkTUY75fk7A_4_0"/>
      <w:bookmarkStart w:id="610" w:name="Tc_7qnFz4MRf0iT33s19JFMcw_3_6"/>
      <w:bookmarkStart w:id="611" w:name="Tc_YzJ81667IEuBwb_kL036ZQ_3_2"/>
      <w:bookmarkStart w:id="612" w:name="Tc_IDGgPybCzEynwW8rJsmCTA_2_2"/>
      <w:bookmarkStart w:id="613" w:name="Tc_G0rZ6MCH6UCUOA5MlW2sTA_1_2"/>
      <w:bookmarkStart w:id="614" w:name="_8a369d52_01c8_4303_8384_7cd6e4d2b755"/>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r>
        <w:rPr>
          <w:rFonts w:ascii="Times New Roman;Times;serif" w:hAnsi="Times New Roman;Times;serif"/>
          <w:b/>
          <w:sz w:val="20"/>
        </w:rPr>
        <w:t>Warrants</w:t>
      </w:r>
    </w:p>
    <w:p>
      <w:pPr>
        <w:pStyle w:val="TextBody"/>
        <w:bidi w:val="0"/>
        <w:spacing w:lineRule="auto" w:line="285" w:before="0" w:after="160"/>
        <w:ind w:left="0" w:right="0" w:hanging="0"/>
        <w:jc w:val="left"/>
        <w:rPr>
          <w:rFonts w:ascii="Times New Roman;Times;serif" w:hAnsi="Times New Roman;Times;serif"/>
          <w:sz w:val="20"/>
        </w:rPr>
      </w:pPr>
      <w:r>
        <w:rPr>
          <w:rFonts w:ascii="Times New Roman;Times;serif" w:hAnsi="Times New Roman;Times;serif"/>
          <w:sz w:val="20"/>
        </w:rPr>
        <w:t>The following table summarizes our outstanding warrants:</w:t>
      </w:r>
    </w:p>
    <w:p>
      <w:pPr>
        <w:pStyle w:val="TextBody"/>
        <w:bidi w:val="0"/>
        <w:spacing w:lineRule="auto" w:line="285" w:before="0" w:after="0"/>
        <w:ind w:left="0" w:right="0" w:hanging="0"/>
        <w:jc w:val="left"/>
        <w:rPr/>
      </w:pPr>
      <w:r>
        <w:rPr/>
        <w:t>​</w:t>
      </w:r>
    </w:p>
    <w:tbl>
      <w:tblPr>
        <w:tblW w:w="9607" w:type="dxa"/>
        <w:jc w:val="left"/>
        <w:tblInd w:w="0" w:type="dxa"/>
        <w:tblLayout w:type="fixed"/>
        <w:tblCellMar>
          <w:top w:w="0" w:type="dxa"/>
          <w:left w:w="0" w:type="dxa"/>
          <w:bottom w:w="0" w:type="dxa"/>
          <w:right w:w="0" w:type="dxa"/>
        </w:tblCellMar>
      </w:tblPr>
      <w:tblGrid>
        <w:gridCol w:w="2386"/>
        <w:gridCol w:w="109"/>
        <w:gridCol w:w="1246"/>
        <w:gridCol w:w="109"/>
        <w:gridCol w:w="1681"/>
        <w:gridCol w:w="109"/>
        <w:gridCol w:w="211"/>
        <w:gridCol w:w="1186"/>
        <w:gridCol w:w="109"/>
        <w:gridCol w:w="2461"/>
      </w:tblGrid>
      <w:tr>
        <w:trPr/>
        <w:tc>
          <w:tcPr>
            <w:tcW w:w="2386"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12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791210" cy="175260"/>
                      <wp:effectExtent l="0" t="0" r="0" b="0"/>
                      <wp:wrapNone/>
                      <wp:docPr id="87" name="Frame86"/>
                      <a:graphic xmlns:a="http://schemas.openxmlformats.org/drawingml/2006/main">
                        <a:graphicData uri="http://schemas.microsoft.com/office/word/2010/wordprocessingShape">
                          <wps:wsp>
                            <wps:cNvSpPr txBox="1"/>
                            <wps:spPr>
                              <a:xfrm>
                                <a:off x="0" y="0"/>
                                <a:ext cx="7912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9215" cy="175260"/>
                      <wp:effectExtent l="0" t="0" r="0" b="0"/>
                      <wp:wrapNone/>
                      <wp:docPr id="88" name="Frame8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6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1067435" cy="175260"/>
                      <wp:effectExtent l="0" t="0" r="0" b="0"/>
                      <wp:wrapNone/>
                      <wp:docPr id="89" name="Frame88"/>
                      <a:graphic xmlns:a="http://schemas.openxmlformats.org/drawingml/2006/main">
                        <a:graphicData uri="http://schemas.microsoft.com/office/word/2010/wordprocessingShape">
                          <wps:wsp>
                            <wps:cNvSpPr txBox="1"/>
                            <wps:spPr>
                              <a:xfrm>
                                <a:off x="0" y="0"/>
                                <a:ext cx="106743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pPr>
            <w:r>
              <w:rPr/>
              <w:t>​</w:t>
            </w:r>
          </w:p>
        </w:tc>
        <w:tc>
          <w:tcPr>
            <w:tcW w:w="11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753110" cy="175260"/>
                      <wp:effectExtent l="0" t="0" r="0" b="0"/>
                      <wp:wrapNone/>
                      <wp:docPr id="90" name="Frame89"/>
                      <a:graphic xmlns:a="http://schemas.openxmlformats.org/drawingml/2006/main">
                        <a:graphicData uri="http://schemas.microsoft.com/office/word/2010/wordprocessingShape">
                          <wps:wsp>
                            <wps:cNvSpPr txBox="1"/>
                            <wps:spPr>
                              <a:xfrm>
                                <a:off x="0" y="0"/>
                                <a:ext cx="7531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lineRule="auto" w:line="285" w:before="0" w:after="0"/>
              <w:ind w:left="0" w:right="0" w:hanging="0"/>
              <w:jc w:val="left"/>
              <w:rPr/>
            </w:pPr>
            <w:r>
              <w:rPr/>
              <w:t>​</w:t>
            </w:r>
          </w:p>
        </w:tc>
        <w:tc>
          <w:tcPr>
            <w:tcW w:w="2461" w:type="dxa"/>
            <w:tcBorders/>
            <w:vAlign w:val="center"/>
          </w:tcPr>
          <w:p>
            <w:pPr>
              <w:pStyle w:val="TableContents"/>
              <w:bidi w:val="0"/>
              <w:spacing w:lineRule="auto" w:line="285" w:before="0" w:after="0"/>
              <w:ind w:left="0" w:right="0" w:hanging="0"/>
              <w:jc w:val="left"/>
              <w:rPr/>
            </w:pPr>
            <w:r>
              <w:rPr/>
              <w:t>​</w:t>
            </w:r>
          </w:p>
        </w:tc>
      </w:tr>
      <w:tr>
        <w:trPr/>
        <w:tc>
          <w:tcPr>
            <w:tcW w:w="2386"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3036" w:type="dxa"/>
            <w:gridSpan w:val="3"/>
            <w:tcBorders/>
            <w:vAlign w:val="center"/>
          </w:tcPr>
          <w:p>
            <w:pPr>
              <w:pStyle w:val="TableContents"/>
              <w:bidi w:val="0"/>
              <w:spacing w:lineRule="auto" w:line="285" w:before="0" w:after="1"/>
              <w:ind w:left="0" w:right="0" w:hanging="0"/>
              <w:jc w:val="center"/>
              <w:rPr>
                <w:rFonts w:ascii="Times New Roman;Times;serif" w:hAnsi="Times New Roman;Times;serif"/>
                <w:sz w:val="20"/>
              </w:rPr>
            </w:pPr>
            <w:r>
              <w:rPr>
                <w:rFonts w:ascii="Times New Roman;Times;serif" w:hAnsi="Times New Roman;Times;serif"/>
                <w:sz w:val="20"/>
              </w:rPr>
              <w:t>Shares of Common Stock Issuable</w:t>
            </w:r>
          </w:p>
        </w:tc>
        <w:tc>
          <w:tcPr>
            <w:tcW w:w="109"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pPr>
            <w:r>
              <w:rPr/>
              <w:t>​</w:t>
            </w:r>
          </w:p>
        </w:tc>
        <w:tc>
          <w:tcPr>
            <w:tcW w:w="1186"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2461" w:type="dxa"/>
            <w:tcBorders/>
            <w:vAlign w:val="center"/>
          </w:tcPr>
          <w:p>
            <w:pPr>
              <w:pStyle w:val="TableContents"/>
              <w:bidi w:val="0"/>
              <w:spacing w:lineRule="auto" w:line="285" w:before="0" w:after="0"/>
              <w:ind w:left="0" w:right="0" w:hanging="0"/>
              <w:jc w:val="left"/>
              <w:rPr/>
            </w:pPr>
            <w:r>
              <w:rPr/>
              <w:t>​</w:t>
            </w:r>
          </w:p>
        </w:tc>
      </w:tr>
      <w:tr>
        <w:trPr/>
        <w:tc>
          <w:tcPr>
            <w:tcW w:w="2386"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3036" w:type="dxa"/>
            <w:gridSpan w:val="3"/>
            <w:tcBorders>
              <w:bottom w:val="single" w:sz="2" w:space="0" w:color="000000"/>
            </w:tcBorders>
            <w:tcMar>
              <w:bottom w:w="28" w:type="dxa"/>
            </w:tcMar>
            <w:vAlign w:val="center"/>
          </w:tcPr>
          <w:p>
            <w:pPr>
              <w:pStyle w:val="TableContents"/>
              <w:bidi w:val="0"/>
              <w:spacing w:lineRule="auto" w:line="285" w:before="0" w:after="1"/>
              <w:ind w:left="0" w:right="0" w:hanging="0"/>
              <w:jc w:val="center"/>
              <w:rPr>
                <w:rFonts w:ascii="Times New Roman;Times;serif" w:hAnsi="Times New Roman;Times;serif"/>
                <w:sz w:val="20"/>
              </w:rPr>
            </w:pPr>
            <w:r>
              <w:rPr>
                <w:rFonts w:ascii="Times New Roman;Times;serif" w:hAnsi="Times New Roman;Times;serif"/>
                <w:sz w:val="20"/>
              </w:rPr>
              <w:t>for Outstanding Warrants</w:t>
            </w:r>
          </w:p>
        </w:tc>
        <w:tc>
          <w:tcPr>
            <w:tcW w:w="109"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pPr>
            <w:r>
              <w:rPr/>
              <w:t>​</w:t>
            </w:r>
          </w:p>
        </w:tc>
        <w:tc>
          <w:tcPr>
            <w:tcW w:w="1186"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2461" w:type="dxa"/>
            <w:tcBorders/>
            <w:vAlign w:val="center"/>
          </w:tcPr>
          <w:p>
            <w:pPr>
              <w:pStyle w:val="TableContents"/>
              <w:bidi w:val="0"/>
              <w:spacing w:lineRule="auto" w:line="285" w:before="0" w:after="0"/>
              <w:ind w:left="0" w:right="0" w:hanging="0"/>
              <w:jc w:val="left"/>
              <w:rPr/>
            </w:pPr>
            <w:r>
              <w:rPr/>
              <w:t>​</w:t>
            </w:r>
          </w:p>
        </w:tc>
      </w:tr>
      <w:tr>
        <w:trPr/>
        <w:tc>
          <w:tcPr>
            <w:tcW w:w="2386"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3036" w:type="dxa"/>
            <w:gridSpan w:val="3"/>
            <w:tcBorders>
              <w:bottom w:val="single" w:sz="2" w:space="0" w:color="000000"/>
            </w:tcBorders>
            <w:tcMar>
              <w:bottom w:w="28" w:type="dxa"/>
            </w:tcMar>
            <w:vAlign w:val="center"/>
          </w:tcPr>
          <w:p>
            <w:pPr>
              <w:pStyle w:val="TableContents"/>
              <w:bidi w:val="0"/>
              <w:spacing w:lineRule="auto" w:line="285" w:before="0" w:after="1"/>
              <w:ind w:left="0" w:right="0" w:hanging="0"/>
              <w:jc w:val="center"/>
              <w:rPr>
                <w:rFonts w:ascii="Times New Roman;Times;serif" w:hAnsi="Times New Roman;Times;serif"/>
                <w:sz w:val="20"/>
              </w:rPr>
            </w:pPr>
            <w:r>
              <w:rPr>
                <w:rFonts w:ascii="Times New Roman;Times;serif" w:hAnsi="Times New Roman;Times;serif"/>
                <w:sz w:val="20"/>
              </w:rPr>
              <w:t>As of</w:t>
            </w:r>
          </w:p>
        </w:tc>
        <w:tc>
          <w:tcPr>
            <w:tcW w:w="109" w:type="dxa"/>
            <w:tcBorders/>
            <w:vAlign w:val="center"/>
          </w:tcPr>
          <w:p>
            <w:pPr>
              <w:pStyle w:val="TableContents"/>
              <w:bidi w:val="0"/>
              <w:spacing w:lineRule="auto" w:line="285" w:before="0" w:after="0"/>
              <w:ind w:left="0" w:right="0" w:hanging="0"/>
              <w:jc w:val="left"/>
              <w:rPr/>
            </w:pPr>
            <w:r>
              <w:rPr/>
              <w:t>​</w:t>
            </w:r>
          </w:p>
        </w:tc>
        <w:tc>
          <w:tcPr>
            <w:tcW w:w="1397" w:type="dxa"/>
            <w:gridSpan w:val="2"/>
            <w:tcBorders/>
            <w:vAlign w:val="center"/>
          </w:tcPr>
          <w:p>
            <w:pPr>
              <w:pStyle w:val="TableContents"/>
              <w:bidi w:val="0"/>
              <w:spacing w:lineRule="auto" w:line="285" w:before="0" w:after="1"/>
              <w:ind w:left="0" w:right="0" w:hanging="0"/>
              <w:jc w:val="center"/>
              <w:rPr>
                <w:rFonts w:ascii="Times New Roman;Times;serif" w:hAnsi="Times New Roman;Times;serif"/>
                <w:sz w:val="20"/>
              </w:rPr>
            </w:pPr>
            <w:r>
              <w:rPr>
                <w:rFonts w:ascii="Times New Roman;Times;serif" w:hAnsi="Times New Roman;Times;serif"/>
                <w:sz w:val="20"/>
              </w:rPr>
              <w:t>Exercise</w:t>
            </w:r>
          </w:p>
        </w:tc>
        <w:tc>
          <w:tcPr>
            <w:tcW w:w="109" w:type="dxa"/>
            <w:tcBorders/>
            <w:vAlign w:val="center"/>
          </w:tcPr>
          <w:p>
            <w:pPr>
              <w:pStyle w:val="TableContents"/>
              <w:bidi w:val="0"/>
              <w:spacing w:lineRule="auto" w:line="285" w:before="0" w:after="0"/>
              <w:ind w:left="0" w:right="0" w:hanging="0"/>
              <w:jc w:val="left"/>
              <w:rPr/>
            </w:pPr>
            <w:r>
              <w:rPr/>
              <w:t>​</w:t>
            </w:r>
          </w:p>
        </w:tc>
        <w:tc>
          <w:tcPr>
            <w:tcW w:w="2461" w:type="dxa"/>
            <w:tcBorders/>
            <w:vAlign w:val="center"/>
          </w:tcPr>
          <w:p>
            <w:pPr>
              <w:pStyle w:val="TableContents"/>
              <w:bidi w:val="0"/>
              <w:spacing w:lineRule="auto" w:line="285" w:before="0" w:after="0"/>
              <w:ind w:left="0" w:right="0" w:hanging="0"/>
              <w:jc w:val="center"/>
              <w:rPr/>
            </w:pPr>
            <w:r>
              <w:rPr/>
              <w:t>​</w:t>
            </w:r>
          </w:p>
        </w:tc>
      </w:tr>
      <w:tr>
        <w:trPr/>
        <w:tc>
          <w:tcPr>
            <w:tcW w:w="2386" w:type="dxa"/>
            <w:tcBorders>
              <w:bottom w:val="single" w:sz="2" w:space="0" w:color="000000"/>
            </w:tcBorders>
            <w:tcMar>
              <w:bottom w:w="28" w:type="dxa"/>
            </w:tcMar>
            <w:vAlign w:val="center"/>
          </w:tcPr>
          <w:p>
            <w:pPr>
              <w:pStyle w:val="TableContents"/>
              <w:bidi w:val="0"/>
              <w:spacing w:lineRule="auto" w:line="285" w:before="0" w:after="1"/>
              <w:ind w:left="0" w:right="0" w:hanging="0"/>
              <w:jc w:val="left"/>
              <w:rPr>
                <w:rFonts w:ascii="Times New Roman;Times;serif" w:hAnsi="Times New Roman;Times;serif"/>
                <w:sz w:val="20"/>
              </w:rPr>
            </w:pPr>
            <w:r>
              <w:rPr>
                <w:rFonts w:ascii="Times New Roman;Times;serif" w:hAnsi="Times New Roman;Times;serif"/>
                <w:sz w:val="20"/>
              </w:rPr>
              <w:t>Warrant Issuance</w:t>
            </w:r>
          </w:p>
        </w:tc>
        <w:tc>
          <w:tcPr>
            <w:tcW w:w="109" w:type="dxa"/>
            <w:tcBorders>
              <w:bottom w:val="single" w:sz="2" w:space="0" w:color="000000"/>
            </w:tcBorders>
            <w:tcMar>
              <w:bottom w:w="28" w:type="dxa"/>
            </w:tcMar>
            <w:vAlign w:val="center"/>
          </w:tcPr>
          <w:p>
            <w:pPr>
              <w:pStyle w:val="TableContents"/>
              <w:bidi w:val="0"/>
              <w:spacing w:lineRule="auto" w:line="285" w:before="0" w:after="0"/>
              <w:ind w:left="0" w:right="0" w:hanging="0"/>
              <w:jc w:val="center"/>
              <w:rPr/>
            </w:pPr>
            <w:r>
              <w:rPr/>
              <w:t>​</w:t>
            </w:r>
          </w:p>
        </w:tc>
        <w:tc>
          <w:tcPr>
            <w:tcW w:w="1246" w:type="dxa"/>
            <w:tcBorders>
              <w:bottom w:val="single" w:sz="2" w:space="0" w:color="000000"/>
            </w:tcBorders>
            <w:tcMar>
              <w:bottom w:w="28" w:type="dxa"/>
            </w:tcMar>
            <w:vAlign w:val="center"/>
          </w:tcPr>
          <w:p>
            <w:pPr>
              <w:pStyle w:val="TableContents"/>
              <w:bidi w:val="0"/>
              <w:spacing w:lineRule="auto" w:line="285" w:before="0" w:after="1"/>
              <w:ind w:left="0" w:right="0" w:hanging="0"/>
              <w:jc w:val="center"/>
              <w:rPr>
                <w:rFonts w:ascii="Times New Roman;Times;serif" w:hAnsi="Times New Roman;Times;serif"/>
                <w:sz w:val="20"/>
              </w:rPr>
            </w:pPr>
            <w:r>
              <w:rPr>
                <w:rFonts w:ascii="Times New Roman;Times;serif" w:hAnsi="Times New Roman;Times;serif"/>
                <w:sz w:val="20"/>
              </w:rPr>
              <w:t>June 30, 2026</w:t>
            </w:r>
          </w:p>
        </w:tc>
        <w:tc>
          <w:tcPr>
            <w:tcW w:w="109" w:type="dxa"/>
            <w:tcBorders>
              <w:bottom w:val="single" w:sz="2" w:space="0" w:color="000000"/>
            </w:tcBorders>
            <w:tcMar>
              <w:bottom w:w="28" w:type="dxa"/>
            </w:tcMar>
            <w:vAlign w:val="center"/>
          </w:tcPr>
          <w:p>
            <w:pPr>
              <w:pStyle w:val="TableContents"/>
              <w:bidi w:val="0"/>
              <w:spacing w:lineRule="auto" w:line="285" w:before="0" w:after="0"/>
              <w:ind w:left="0" w:right="0" w:hanging="0"/>
              <w:jc w:val="center"/>
              <w:rPr/>
            </w:pPr>
            <w:r>
              <w:rPr/>
              <w:t>​</w:t>
            </w:r>
          </w:p>
        </w:tc>
        <w:tc>
          <w:tcPr>
            <w:tcW w:w="1681" w:type="dxa"/>
            <w:tcBorders>
              <w:bottom w:val="single" w:sz="2" w:space="0" w:color="000000"/>
            </w:tcBorders>
            <w:tcMar>
              <w:bottom w:w="28" w:type="dxa"/>
            </w:tcMar>
            <w:vAlign w:val="center"/>
          </w:tcPr>
          <w:p>
            <w:pPr>
              <w:pStyle w:val="TableContents"/>
              <w:bidi w:val="0"/>
              <w:spacing w:lineRule="auto" w:line="285" w:before="0" w:after="1"/>
              <w:ind w:left="0" w:right="0" w:hanging="0"/>
              <w:jc w:val="center"/>
              <w:rPr>
                <w:rFonts w:ascii="Times New Roman;Times;serif" w:hAnsi="Times New Roman;Times;serif"/>
                <w:sz w:val="20"/>
              </w:rPr>
            </w:pPr>
            <w:r>
              <w:rPr>
                <w:rFonts w:ascii="Times New Roman;Times;serif" w:hAnsi="Times New Roman;Times;serif"/>
                <w:sz w:val="20"/>
              </w:rPr>
              <w:t>December 31, 2025</w:t>
            </w:r>
          </w:p>
        </w:tc>
        <w:tc>
          <w:tcPr>
            <w:tcW w:w="109" w:type="dxa"/>
            <w:tcBorders>
              <w:bottom w:val="single" w:sz="2" w:space="0" w:color="000000"/>
            </w:tcBorders>
            <w:tcMar>
              <w:bottom w:w="28" w:type="dxa"/>
            </w:tcMar>
            <w:vAlign w:val="center"/>
          </w:tcPr>
          <w:p>
            <w:pPr>
              <w:pStyle w:val="TableContents"/>
              <w:bidi w:val="0"/>
              <w:spacing w:lineRule="auto" w:line="285" w:before="0" w:after="0"/>
              <w:ind w:left="0" w:right="0" w:hanging="0"/>
              <w:jc w:val="center"/>
              <w:rPr/>
            </w:pPr>
            <w:r>
              <w:rPr/>
              <w:t>​</w:t>
            </w:r>
          </w:p>
        </w:tc>
        <w:tc>
          <w:tcPr>
            <w:tcW w:w="1397" w:type="dxa"/>
            <w:gridSpan w:val="2"/>
            <w:tcBorders>
              <w:bottom w:val="single" w:sz="2" w:space="0" w:color="000000"/>
            </w:tcBorders>
            <w:tcMar>
              <w:bottom w:w="28" w:type="dxa"/>
            </w:tcMar>
            <w:vAlign w:val="center"/>
          </w:tcPr>
          <w:p>
            <w:pPr>
              <w:pStyle w:val="TableContents"/>
              <w:bidi w:val="0"/>
              <w:spacing w:lineRule="auto" w:line="285" w:before="0" w:after="1"/>
              <w:ind w:left="0" w:right="0" w:hanging="0"/>
              <w:jc w:val="center"/>
              <w:rPr>
                <w:rFonts w:ascii="Times New Roman;Times;serif" w:hAnsi="Times New Roman;Times;serif"/>
                <w:sz w:val="20"/>
              </w:rPr>
            </w:pPr>
            <w:r>
              <w:rPr>
                <w:rFonts w:ascii="Times New Roman;Times;serif" w:hAnsi="Times New Roman;Times;serif"/>
                <w:sz w:val="20"/>
              </w:rPr>
              <w:t>Price</w:t>
            </w:r>
          </w:p>
        </w:tc>
        <w:tc>
          <w:tcPr>
            <w:tcW w:w="109" w:type="dxa"/>
            <w:tcBorders>
              <w:bottom w:val="single" w:sz="2" w:space="0" w:color="000000"/>
            </w:tcBorders>
            <w:tcMar>
              <w:bottom w:w="28" w:type="dxa"/>
            </w:tcMar>
            <w:vAlign w:val="center"/>
          </w:tcPr>
          <w:p>
            <w:pPr>
              <w:pStyle w:val="TableContents"/>
              <w:bidi w:val="0"/>
              <w:spacing w:lineRule="auto" w:line="285" w:before="0" w:after="0"/>
              <w:ind w:left="0" w:right="0" w:hanging="0"/>
              <w:jc w:val="center"/>
              <w:rPr/>
            </w:pPr>
            <w:r>
              <w:rPr/>
              <w:t>​</w:t>
            </w:r>
          </w:p>
        </w:tc>
        <w:tc>
          <w:tcPr>
            <w:tcW w:w="2461" w:type="dxa"/>
            <w:tcBorders>
              <w:bottom w:val="single" w:sz="2" w:space="0" w:color="000000"/>
            </w:tcBorders>
            <w:tcMar>
              <w:bottom w:w="28" w:type="dxa"/>
            </w:tcMar>
            <w:vAlign w:val="center"/>
          </w:tcPr>
          <w:p>
            <w:pPr>
              <w:pStyle w:val="TableContents"/>
              <w:bidi w:val="0"/>
              <w:spacing w:lineRule="auto" w:line="285" w:before="0" w:after="1"/>
              <w:ind w:left="0" w:right="0" w:hanging="0"/>
              <w:jc w:val="center"/>
              <w:rPr>
                <w:rFonts w:ascii="Times New Roman;Times;serif" w:hAnsi="Times New Roman;Times;serif"/>
                <w:sz w:val="20"/>
              </w:rPr>
            </w:pPr>
            <w:r>
              <w:rPr>
                <w:rFonts w:ascii="Times New Roman;Times;serif" w:hAnsi="Times New Roman;Times;serif"/>
                <w:sz w:val="20"/>
              </w:rPr>
              <w:t>Expiration Date</w:t>
            </w:r>
          </w:p>
        </w:tc>
      </w:tr>
      <w:tr>
        <w:trPr/>
        <w:tc>
          <w:tcPr>
            <w:tcW w:w="2386" w:type="dxa"/>
            <w:tcBorders/>
            <w:shd w:fill="CCEEFF" w:val="clear"/>
            <w:vAlign w:val="center"/>
          </w:tcPr>
          <w:p>
            <w:pPr>
              <w:pStyle w:val="TableContents"/>
              <w:bidi w:val="0"/>
              <w:spacing w:lineRule="auto" w:line="285" w:before="0" w:after="1"/>
              <w:ind w:left="0" w:right="0" w:hanging="0"/>
              <w:jc w:val="left"/>
              <w:rPr>
                <w:rFonts w:ascii="Times New Roman;Times;serif" w:hAnsi="Times New Roman;Times;serif"/>
                <w:sz w:val="20"/>
              </w:rPr>
            </w:pPr>
            <w:r>
              <w:rPr>
                <w:rFonts w:ascii="Times New Roman;Times;serif" w:hAnsi="Times New Roman;Times;serif"/>
                <w:sz w:val="20"/>
              </w:rPr>
              <w:t>January 2021</w:t>
            </w:r>
          </w:p>
        </w:tc>
        <w:tc>
          <w:tcPr>
            <w:tcW w:w="109" w:type="dxa"/>
            <w:tcBorders/>
            <w:shd w:fill="CCEEFF" w:val="clear"/>
            <w:vAlign w:val="center"/>
          </w:tcPr>
          <w:p>
            <w:pPr>
              <w:pStyle w:val="TableContents"/>
              <w:bidi w:val="0"/>
              <w:spacing w:lineRule="auto" w:line="285" w:before="0" w:after="0"/>
              <w:ind w:left="0" w:right="0" w:hanging="0"/>
              <w:jc w:val="right"/>
              <w:rPr/>
            </w:pPr>
            <w:r>
              <w:rPr/>
              <w:t>​</w:t>
            </w:r>
          </w:p>
        </w:tc>
        <w:tc>
          <w:tcPr>
            <w:tcW w:w="1246" w:type="dxa"/>
            <w:tcBorders/>
            <w:shd w:fill="CCEEFF" w:val="clear"/>
            <w:vAlign w:val="center"/>
          </w:tcPr>
          <w:p>
            <w:pPr>
              <w:pStyle w:val="TableContents"/>
              <w:bidi w:val="0"/>
              <w:spacing w:lineRule="auto" w:line="285" w:before="0" w:after="1"/>
              <w:ind w:left="0" w:right="0" w:hanging="0"/>
              <w:jc w:val="right"/>
              <w:rPr>
                <w:rFonts w:ascii="Times New Roman;Times;serif" w:hAnsi="Times New Roman;Times;serif"/>
                <w:sz w:val="20"/>
              </w:rPr>
            </w:pPr>
            <w:r>
              <w:rPr>
                <w:rFonts w:ascii="Times New Roman;Times;serif" w:hAnsi="Times New Roman;Times;serif"/>
                <w:sz w:val="20"/>
              </w:rPr>
              <w:t>942</w:t>
            </w:r>
          </w:p>
        </w:tc>
        <w:tc>
          <w:tcPr>
            <w:tcW w:w="109" w:type="dxa"/>
            <w:tcBorders/>
            <w:shd w:fill="CCEEFF" w:val="clear"/>
            <w:vAlign w:val="center"/>
          </w:tcPr>
          <w:p>
            <w:pPr>
              <w:pStyle w:val="TableContents"/>
              <w:bidi w:val="0"/>
              <w:spacing w:lineRule="auto" w:line="285" w:before="0" w:after="0"/>
              <w:ind w:left="0" w:right="0" w:hanging="0"/>
              <w:jc w:val="right"/>
              <w:rPr/>
            </w:pPr>
            <w:r>
              <w:rPr/>
              <w:t>​</w:t>
            </w:r>
          </w:p>
        </w:tc>
        <w:tc>
          <w:tcPr>
            <w:tcW w:w="1681" w:type="dxa"/>
            <w:tcBorders/>
            <w:shd w:fill="CCEEFF" w:val="clear"/>
            <w:vAlign w:val="center"/>
          </w:tcPr>
          <w:p>
            <w:pPr>
              <w:pStyle w:val="TableContents"/>
              <w:bidi w:val="0"/>
              <w:spacing w:lineRule="auto" w:line="285" w:before="0" w:after="1"/>
              <w:ind w:left="0" w:right="0" w:hanging="0"/>
              <w:jc w:val="right"/>
              <w:rPr>
                <w:rFonts w:ascii="Times New Roman;Times;serif" w:hAnsi="Times New Roman;Times;serif"/>
                <w:sz w:val="20"/>
              </w:rPr>
            </w:pPr>
            <w:r>
              <w:rPr>
                <w:rFonts w:ascii="Times New Roman;Times;serif" w:hAnsi="Times New Roman;Times;serif"/>
                <w:sz w:val="20"/>
              </w:rPr>
              <w:t>942</w:t>
            </w:r>
          </w:p>
        </w:tc>
        <w:tc>
          <w:tcPr>
            <w:tcW w:w="109" w:type="dxa"/>
            <w:tcBorders/>
            <w:shd w:fill="CCEEFF" w:val="clear"/>
            <w:vAlign w:val="center"/>
          </w:tcPr>
          <w:p>
            <w:pPr>
              <w:pStyle w:val="TableContents"/>
              <w:bidi w:val="0"/>
              <w:spacing w:lineRule="auto" w:line="285" w:before="0" w:after="0"/>
              <w:ind w:left="0" w:right="0" w:hanging="0"/>
              <w:jc w:val="right"/>
              <w:rPr/>
            </w:pPr>
            <w:r>
              <w:rPr/>
              <w:t>​</w:t>
            </w:r>
          </w:p>
        </w:tc>
        <w:tc>
          <w:tcPr>
            <w:tcW w:w="211" w:type="dxa"/>
            <w:tcBorders/>
            <w:shd w:fill="CCEEFF" w:val="clear"/>
            <w:vAlign w:val="center"/>
          </w:tcPr>
          <w:p>
            <w:pPr>
              <w:pStyle w:val="TableContents"/>
              <w:bidi w:val="0"/>
              <w:spacing w:lineRule="auto" w:line="285" w:before="0" w:after="1"/>
              <w:ind w:left="0" w:right="0" w:hanging="0"/>
              <w:jc w:val="right"/>
              <w:rPr>
                <w:rFonts w:ascii="Times New Roman;Times;serif" w:hAnsi="Times New Roman;Times;serif"/>
                <w:sz w:val="20"/>
              </w:rPr>
            </w:pPr>
            <w:r>
              <w:rPr>
                <w:rFonts w:ascii="Times New Roman;Times;serif" w:hAnsi="Times New Roman;Times;serif"/>
                <w:sz w:val="20"/>
              </w:rPr>
              <w:t>$</w:t>
            </w:r>
          </w:p>
        </w:tc>
        <w:tc>
          <w:tcPr>
            <w:tcW w:w="1186" w:type="dxa"/>
            <w:tcBorders/>
            <w:shd w:fill="CCEEFF" w:val="clear"/>
            <w:vAlign w:val="center"/>
          </w:tcPr>
          <w:p>
            <w:pPr>
              <w:pStyle w:val="TableContents"/>
              <w:bidi w:val="0"/>
              <w:spacing w:lineRule="auto" w:line="285" w:before="0" w:after="1"/>
              <w:ind w:left="0" w:right="0" w:hanging="0"/>
              <w:jc w:val="right"/>
              <w:rPr>
                <w:rFonts w:ascii="Times New Roman;Times;serif" w:hAnsi="Times New Roman;Times;serif"/>
                <w:sz w:val="20"/>
              </w:rPr>
            </w:pPr>
            <w:r>
              <w:rPr>
                <w:rFonts w:ascii="Times New Roman;Times;serif" w:hAnsi="Times New Roman;Times;serif"/>
                <w:sz w:val="20"/>
              </w:rPr>
              <w:t xml:space="preserve">15,919.2000 </w:t>
            </w:r>
          </w:p>
        </w:tc>
        <w:tc>
          <w:tcPr>
            <w:tcW w:w="109" w:type="dxa"/>
            <w:tcBorders/>
            <w:shd w:fill="CCEEFF" w:val="clear"/>
            <w:vAlign w:val="center"/>
          </w:tcPr>
          <w:p>
            <w:pPr>
              <w:pStyle w:val="TableContents"/>
              <w:bidi w:val="0"/>
              <w:spacing w:lineRule="auto" w:line="285" w:before="0" w:after="0"/>
              <w:ind w:left="0" w:right="0" w:hanging="0"/>
              <w:jc w:val="right"/>
              <w:rPr/>
            </w:pPr>
            <w:r>
              <w:rPr/>
              <w:t>​</w:t>
            </w:r>
          </w:p>
        </w:tc>
        <w:tc>
          <w:tcPr>
            <w:tcW w:w="2461" w:type="dxa"/>
            <w:tcBorders/>
            <w:shd w:fill="CCEEFF" w:val="clear"/>
            <w:vAlign w:val="center"/>
          </w:tcPr>
          <w:p>
            <w:pPr>
              <w:pStyle w:val="TableContents"/>
              <w:bidi w:val="0"/>
              <w:spacing w:lineRule="auto" w:line="285" w:before="0" w:after="1"/>
              <w:ind w:left="0" w:right="0" w:hanging="0"/>
              <w:jc w:val="center"/>
              <w:rPr>
                <w:rFonts w:ascii="Times New Roman;Times;serif" w:hAnsi="Times New Roman;Times;serif"/>
                <w:sz w:val="20"/>
              </w:rPr>
            </w:pPr>
            <w:r>
              <w:rPr>
                <w:rFonts w:ascii="Times New Roman;Times;serif" w:hAnsi="Times New Roman;Times;serif"/>
                <w:sz w:val="20"/>
              </w:rPr>
              <w:t>July 2026</w:t>
            </w:r>
          </w:p>
        </w:tc>
      </w:tr>
      <w:tr>
        <w:trPr/>
        <w:tc>
          <w:tcPr>
            <w:tcW w:w="2386" w:type="dxa"/>
            <w:tcBorders/>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20"/>
              </w:rPr>
              <w:t xml:space="preserve">November 2022 Series B </w:t>
            </w:r>
            <w:r>
              <w:rPr>
                <w:rFonts w:ascii="Times New Roman;Times;serif" w:hAnsi="Times New Roman;Times;serif"/>
                <w:sz w:val="15"/>
              </w:rPr>
              <w:t>(1)</w:t>
            </w:r>
          </w:p>
        </w:tc>
        <w:tc>
          <w:tcPr>
            <w:tcW w:w="109" w:type="dxa"/>
            <w:tcBorders/>
            <w:vAlign w:val="center"/>
          </w:tcPr>
          <w:p>
            <w:pPr>
              <w:pStyle w:val="TableContents"/>
              <w:bidi w:val="0"/>
              <w:spacing w:lineRule="auto" w:line="285" w:before="0" w:after="0"/>
              <w:ind w:left="0" w:right="0" w:hanging="0"/>
              <w:jc w:val="right"/>
              <w:rPr/>
            </w:pPr>
            <w:r>
              <w:rPr/>
              <w:t>​</w:t>
            </w:r>
          </w:p>
        </w:tc>
        <w:tc>
          <w:tcPr>
            <w:tcW w:w="1246" w:type="dxa"/>
            <w:tcBorders/>
            <w:vAlign w:val="center"/>
          </w:tcPr>
          <w:p>
            <w:pPr>
              <w:pStyle w:val="TableContents"/>
              <w:bidi w:val="0"/>
              <w:spacing w:lineRule="auto" w:line="285" w:before="0" w:after="1"/>
              <w:ind w:left="0" w:right="0" w:hanging="0"/>
              <w:jc w:val="right"/>
              <w:rPr>
                <w:rFonts w:ascii="Times New Roman;Times;serif" w:hAnsi="Times New Roman;Times;serif"/>
                <w:sz w:val="20"/>
              </w:rPr>
            </w:pPr>
            <w:r>
              <w:rPr>
                <w:rFonts w:ascii="Times New Roman;Times;serif" w:hAnsi="Times New Roman;Times;serif"/>
                <w:sz w:val="20"/>
              </w:rPr>
              <w:t>16,176</w:t>
            </w:r>
          </w:p>
        </w:tc>
        <w:tc>
          <w:tcPr>
            <w:tcW w:w="109" w:type="dxa"/>
            <w:tcBorders/>
            <w:vAlign w:val="center"/>
          </w:tcPr>
          <w:p>
            <w:pPr>
              <w:pStyle w:val="TableContents"/>
              <w:bidi w:val="0"/>
              <w:spacing w:lineRule="auto" w:line="285" w:before="0" w:after="0"/>
              <w:ind w:left="0" w:right="0" w:hanging="0"/>
              <w:jc w:val="right"/>
              <w:rPr/>
            </w:pPr>
            <w:r>
              <w:rPr/>
              <w:t>​</w:t>
            </w:r>
          </w:p>
        </w:tc>
        <w:tc>
          <w:tcPr>
            <w:tcW w:w="1681" w:type="dxa"/>
            <w:tcBorders/>
            <w:vAlign w:val="center"/>
          </w:tcPr>
          <w:p>
            <w:pPr>
              <w:pStyle w:val="TableContents"/>
              <w:bidi w:val="0"/>
              <w:spacing w:lineRule="auto" w:line="285" w:before="0" w:after="1"/>
              <w:ind w:left="0" w:right="0" w:hanging="0"/>
              <w:jc w:val="right"/>
              <w:rPr>
                <w:rFonts w:ascii="Times New Roman;Times;serif" w:hAnsi="Times New Roman;Times;serif"/>
                <w:sz w:val="20"/>
              </w:rPr>
            </w:pPr>
            <w:r>
              <w:rPr>
                <w:rFonts w:ascii="Times New Roman;Times;serif" w:hAnsi="Times New Roman;Times;serif"/>
                <w:sz w:val="20"/>
              </w:rPr>
              <w:t>16,176</w:t>
            </w:r>
          </w:p>
        </w:tc>
        <w:tc>
          <w:tcPr>
            <w:tcW w:w="109" w:type="dxa"/>
            <w:tcBorders/>
            <w:vAlign w:val="center"/>
          </w:tcPr>
          <w:p>
            <w:pPr>
              <w:pStyle w:val="TableContents"/>
              <w:bidi w:val="0"/>
              <w:spacing w:lineRule="auto" w:line="285" w:before="0" w:after="0"/>
              <w:ind w:left="0" w:right="0" w:hanging="0"/>
              <w:jc w:val="right"/>
              <w:rPr/>
            </w:pPr>
            <w:r>
              <w:rPr/>
              <w:t>​</w:t>
            </w:r>
          </w:p>
        </w:tc>
        <w:tc>
          <w:tcPr>
            <w:tcW w:w="211" w:type="dxa"/>
            <w:tcBorders/>
            <w:vAlign w:val="center"/>
          </w:tcPr>
          <w:p>
            <w:pPr>
              <w:pStyle w:val="TableContents"/>
              <w:bidi w:val="0"/>
              <w:spacing w:lineRule="auto" w:line="285" w:before="0" w:after="1"/>
              <w:ind w:left="0" w:right="0" w:hanging="0"/>
              <w:jc w:val="right"/>
              <w:rPr>
                <w:rFonts w:ascii="Times New Roman;Times;serif" w:hAnsi="Times New Roman;Times;serif"/>
                <w:sz w:val="20"/>
              </w:rPr>
            </w:pPr>
            <w:r>
              <w:rPr>
                <w:rFonts w:ascii="Times New Roman;Times;serif" w:hAnsi="Times New Roman;Times;serif"/>
                <w:sz w:val="20"/>
              </w:rPr>
              <w:t>$</w:t>
            </w:r>
          </w:p>
        </w:tc>
        <w:tc>
          <w:tcPr>
            <w:tcW w:w="1186" w:type="dxa"/>
            <w:tcBorders/>
            <w:vAlign w:val="center"/>
          </w:tcPr>
          <w:p>
            <w:pPr>
              <w:pStyle w:val="TableContents"/>
              <w:bidi w:val="0"/>
              <w:spacing w:lineRule="auto" w:line="285" w:before="0" w:after="1"/>
              <w:ind w:left="0" w:right="0" w:hanging="0"/>
              <w:jc w:val="right"/>
              <w:rPr>
                <w:rFonts w:ascii="Times New Roman;Times;serif" w:hAnsi="Times New Roman;Times;serif"/>
                <w:sz w:val="20"/>
              </w:rPr>
            </w:pPr>
            <w:r>
              <w:rPr>
                <w:rFonts w:ascii="Times New Roman;Times;serif" w:hAnsi="Times New Roman;Times;serif"/>
                <w:sz w:val="20"/>
              </w:rPr>
              <w:t xml:space="preserve">0.0000 </w:t>
            </w:r>
          </w:p>
        </w:tc>
        <w:tc>
          <w:tcPr>
            <w:tcW w:w="109" w:type="dxa"/>
            <w:tcBorders/>
            <w:vAlign w:val="center"/>
          </w:tcPr>
          <w:p>
            <w:pPr>
              <w:pStyle w:val="TableContents"/>
              <w:bidi w:val="0"/>
              <w:spacing w:lineRule="auto" w:line="285" w:before="0" w:after="0"/>
              <w:ind w:left="0" w:right="0" w:hanging="0"/>
              <w:jc w:val="right"/>
              <w:rPr/>
            </w:pPr>
            <w:r>
              <w:rPr/>
              <w:t>​</w:t>
            </w:r>
          </w:p>
        </w:tc>
        <w:tc>
          <w:tcPr>
            <w:tcW w:w="2461" w:type="dxa"/>
            <w:tcBorders/>
            <w:vAlign w:val="center"/>
          </w:tcPr>
          <w:p>
            <w:pPr>
              <w:pStyle w:val="TableContents"/>
              <w:bidi w:val="0"/>
              <w:spacing w:lineRule="auto" w:line="285" w:before="0" w:after="1"/>
              <w:ind w:left="0" w:right="0" w:hanging="0"/>
              <w:jc w:val="center"/>
              <w:rPr>
                <w:rFonts w:ascii="Times New Roman;Times;serif" w:hAnsi="Times New Roman;Times;serif"/>
                <w:sz w:val="20"/>
              </w:rPr>
            </w:pPr>
            <w:r>
              <w:rPr>
                <w:rFonts w:ascii="Times New Roman;Times;serif" w:hAnsi="Times New Roman;Times;serif"/>
                <w:sz w:val="20"/>
              </w:rPr>
              <w:t>December 2027</w:t>
            </w:r>
          </w:p>
        </w:tc>
      </w:tr>
      <w:tr>
        <w:trPr/>
        <w:tc>
          <w:tcPr>
            <w:tcW w:w="2386" w:type="dxa"/>
            <w:tcBorders/>
            <w:shd w:fill="CCEEFF" w:val="clear"/>
            <w:vAlign w:val="center"/>
          </w:tcPr>
          <w:p>
            <w:pPr>
              <w:pStyle w:val="TableContents"/>
              <w:bidi w:val="0"/>
              <w:spacing w:lineRule="auto" w:line="285" w:before="0" w:after="1"/>
              <w:ind w:left="0" w:right="0" w:hanging="0"/>
              <w:jc w:val="left"/>
              <w:rPr>
                <w:rFonts w:ascii="Times New Roman;Times;serif" w:hAnsi="Times New Roman;Times;serif"/>
                <w:sz w:val="20"/>
              </w:rPr>
            </w:pPr>
            <w:r>
              <w:rPr>
                <w:rFonts w:ascii="Times New Roman;Times;serif" w:hAnsi="Times New Roman;Times;serif"/>
                <w:sz w:val="20"/>
              </w:rPr>
              <w:t>June 2024 Placement Agent</w:t>
            </w:r>
          </w:p>
        </w:tc>
        <w:tc>
          <w:tcPr>
            <w:tcW w:w="109" w:type="dxa"/>
            <w:tcBorders/>
            <w:shd w:fill="CCEEFF" w:val="clear"/>
            <w:vAlign w:val="center"/>
          </w:tcPr>
          <w:p>
            <w:pPr>
              <w:pStyle w:val="TableContents"/>
              <w:bidi w:val="0"/>
              <w:spacing w:lineRule="auto" w:line="285" w:before="0" w:after="0"/>
              <w:ind w:left="0" w:right="0" w:hanging="0"/>
              <w:jc w:val="right"/>
              <w:rPr/>
            </w:pPr>
            <w:r>
              <w:rPr/>
              <w:t>​</w:t>
            </w:r>
          </w:p>
        </w:tc>
        <w:tc>
          <w:tcPr>
            <w:tcW w:w="1246" w:type="dxa"/>
            <w:tcBorders/>
            <w:shd w:fill="CCEEFF" w:val="clear"/>
            <w:vAlign w:val="center"/>
          </w:tcPr>
          <w:p>
            <w:pPr>
              <w:pStyle w:val="TableContents"/>
              <w:bidi w:val="0"/>
              <w:spacing w:lineRule="auto" w:line="285" w:before="0" w:after="1"/>
              <w:ind w:left="0" w:right="0" w:hanging="0"/>
              <w:jc w:val="right"/>
              <w:rPr>
                <w:rFonts w:ascii="Times New Roman;Times;serif" w:hAnsi="Times New Roman;Times;serif"/>
                <w:sz w:val="20"/>
              </w:rPr>
            </w:pPr>
            <w:r>
              <w:rPr>
                <w:rFonts w:ascii="Times New Roman;Times;serif" w:hAnsi="Times New Roman;Times;serif"/>
                <w:sz w:val="20"/>
              </w:rPr>
              <w:t>11,564</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1681" w:type="dxa"/>
            <w:tcBorders/>
            <w:shd w:fill="CCEEFF" w:val="clear"/>
            <w:vAlign w:val="center"/>
          </w:tcPr>
          <w:p>
            <w:pPr>
              <w:pStyle w:val="TableContents"/>
              <w:bidi w:val="0"/>
              <w:spacing w:lineRule="auto" w:line="285" w:before="0" w:after="1"/>
              <w:ind w:left="0" w:right="0" w:hanging="0"/>
              <w:jc w:val="right"/>
              <w:rPr>
                <w:rFonts w:ascii="Times New Roman;Times;serif" w:hAnsi="Times New Roman;Times;serif"/>
                <w:sz w:val="20"/>
              </w:rPr>
            </w:pPr>
            <w:r>
              <w:rPr>
                <w:rFonts w:ascii="Times New Roman;Times;serif" w:hAnsi="Times New Roman;Times;serif"/>
                <w:sz w:val="20"/>
              </w:rPr>
              <w:t>11,564</w:t>
            </w:r>
          </w:p>
        </w:tc>
        <w:tc>
          <w:tcPr>
            <w:tcW w:w="109" w:type="dxa"/>
            <w:tcBorders/>
            <w:shd w:fill="CCEEFF" w:val="clear"/>
            <w:vAlign w:val="center"/>
          </w:tcPr>
          <w:p>
            <w:pPr>
              <w:pStyle w:val="TableContents"/>
              <w:bidi w:val="0"/>
              <w:spacing w:lineRule="auto" w:line="285" w:before="0" w:after="0"/>
              <w:ind w:left="0" w:right="0" w:hanging="0"/>
              <w:jc w:val="right"/>
              <w:rPr/>
            </w:pPr>
            <w:r>
              <w:rPr/>
              <w:t>​</w:t>
            </w:r>
          </w:p>
        </w:tc>
        <w:tc>
          <w:tcPr>
            <w:tcW w:w="211" w:type="dxa"/>
            <w:tcBorders/>
            <w:shd w:fill="CCEEFF" w:val="clear"/>
            <w:vAlign w:val="center"/>
          </w:tcPr>
          <w:p>
            <w:pPr>
              <w:pStyle w:val="TableContents"/>
              <w:bidi w:val="0"/>
              <w:spacing w:lineRule="auto" w:line="285" w:before="0" w:after="1"/>
              <w:ind w:left="0" w:right="0" w:hanging="0"/>
              <w:jc w:val="right"/>
              <w:rPr>
                <w:rFonts w:ascii="Times New Roman;Times;serif" w:hAnsi="Times New Roman;Times;serif"/>
                <w:sz w:val="20"/>
              </w:rPr>
            </w:pPr>
            <w:r>
              <w:rPr>
                <w:rFonts w:ascii="Times New Roman;Times;serif" w:hAnsi="Times New Roman;Times;serif"/>
                <w:sz w:val="20"/>
              </w:rPr>
              <w:t>$</w:t>
            </w:r>
          </w:p>
        </w:tc>
        <w:tc>
          <w:tcPr>
            <w:tcW w:w="1186" w:type="dxa"/>
            <w:tcBorders/>
            <w:shd w:fill="CCEEFF" w:val="clear"/>
            <w:vAlign w:val="center"/>
          </w:tcPr>
          <w:p>
            <w:pPr>
              <w:pStyle w:val="TableContents"/>
              <w:bidi w:val="0"/>
              <w:spacing w:lineRule="auto" w:line="285" w:before="0" w:after="1"/>
              <w:ind w:left="0" w:right="0" w:hanging="0"/>
              <w:jc w:val="right"/>
              <w:rPr>
                <w:rFonts w:ascii="Times New Roman;Times;serif" w:hAnsi="Times New Roman;Times;serif"/>
                <w:sz w:val="20"/>
              </w:rPr>
            </w:pPr>
            <w:r>
              <w:rPr>
                <w:rFonts w:ascii="Times New Roman;Times;serif" w:hAnsi="Times New Roman;Times;serif"/>
                <w:sz w:val="20"/>
              </w:rPr>
              <w:t xml:space="preserve">54.0375 </w:t>
            </w:r>
          </w:p>
        </w:tc>
        <w:tc>
          <w:tcPr>
            <w:tcW w:w="109" w:type="dxa"/>
            <w:tcBorders/>
            <w:shd w:fill="CCEEFF" w:val="clear"/>
            <w:vAlign w:val="center"/>
          </w:tcPr>
          <w:p>
            <w:pPr>
              <w:pStyle w:val="TableContents"/>
              <w:bidi w:val="0"/>
              <w:spacing w:lineRule="auto" w:line="285" w:before="0" w:after="0"/>
              <w:ind w:left="0" w:right="0" w:hanging="0"/>
              <w:jc w:val="right"/>
              <w:rPr/>
            </w:pPr>
            <w:r>
              <w:rPr/>
              <w:t>​</w:t>
            </w:r>
          </w:p>
        </w:tc>
        <w:tc>
          <w:tcPr>
            <w:tcW w:w="2461" w:type="dxa"/>
            <w:tcBorders/>
            <w:shd w:fill="CCEEFF" w:val="clear"/>
            <w:vAlign w:val="center"/>
          </w:tcPr>
          <w:p>
            <w:pPr>
              <w:pStyle w:val="TableContents"/>
              <w:bidi w:val="0"/>
              <w:spacing w:lineRule="auto" w:line="285" w:before="0" w:after="1"/>
              <w:ind w:left="0" w:right="0" w:hanging="0"/>
              <w:jc w:val="center"/>
              <w:rPr>
                <w:rFonts w:ascii="Times New Roman;Times;serif" w:hAnsi="Times New Roman;Times;serif"/>
                <w:sz w:val="20"/>
              </w:rPr>
            </w:pPr>
            <w:r>
              <w:rPr>
                <w:rFonts w:ascii="Times New Roman;Times;serif" w:hAnsi="Times New Roman;Times;serif"/>
                <w:sz w:val="20"/>
              </w:rPr>
              <w:t>July 2026</w:t>
            </w:r>
          </w:p>
        </w:tc>
      </w:tr>
      <w:tr>
        <w:trPr/>
        <w:tc>
          <w:tcPr>
            <w:tcW w:w="2386" w:type="dxa"/>
            <w:tcBorders/>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20"/>
              </w:rPr>
              <w:t xml:space="preserve">June 2024 Series B </w:t>
            </w:r>
            <w:r>
              <w:rPr>
                <w:rFonts w:ascii="Times New Roman;Times;serif" w:hAnsi="Times New Roman;Times;serif"/>
                <w:sz w:val="15"/>
              </w:rPr>
              <w:t>(2)</w:t>
            </w:r>
          </w:p>
        </w:tc>
        <w:tc>
          <w:tcPr>
            <w:tcW w:w="109" w:type="dxa"/>
            <w:tcBorders/>
            <w:vAlign w:val="center"/>
          </w:tcPr>
          <w:p>
            <w:pPr>
              <w:pStyle w:val="TableContents"/>
              <w:bidi w:val="0"/>
              <w:spacing w:lineRule="auto" w:line="285" w:before="0" w:after="0"/>
              <w:ind w:left="0" w:right="0" w:hanging="0"/>
              <w:jc w:val="right"/>
              <w:rPr/>
            </w:pPr>
            <w:r>
              <w:rPr/>
              <w:t>​</w:t>
            </w:r>
          </w:p>
        </w:tc>
        <w:tc>
          <w:tcPr>
            <w:tcW w:w="1246" w:type="dxa"/>
            <w:tcBorders/>
            <w:vAlign w:val="center"/>
          </w:tcPr>
          <w:p>
            <w:pPr>
              <w:pStyle w:val="TableContents"/>
              <w:bidi w:val="0"/>
              <w:spacing w:lineRule="auto" w:line="285" w:before="0" w:after="1"/>
              <w:ind w:left="0" w:right="0" w:hanging="0"/>
              <w:jc w:val="right"/>
              <w:rPr>
                <w:rFonts w:ascii="Times New Roman;Times;serif" w:hAnsi="Times New Roman;Times;serif"/>
                <w:sz w:val="20"/>
              </w:rPr>
            </w:pPr>
            <w:r>
              <w:rPr>
                <w:rFonts w:ascii="Times New Roman;Times;serif" w:hAnsi="Times New Roman;Times;serif"/>
                <w:sz w:val="20"/>
              </w:rPr>
              <w:t>693,962</w:t>
            </w:r>
          </w:p>
        </w:tc>
        <w:tc>
          <w:tcPr>
            <w:tcW w:w="109" w:type="dxa"/>
            <w:tcBorders/>
            <w:vAlign w:val="center"/>
          </w:tcPr>
          <w:p>
            <w:pPr>
              <w:pStyle w:val="TableContents"/>
              <w:bidi w:val="0"/>
              <w:spacing w:lineRule="auto" w:line="285" w:before="0" w:after="0"/>
              <w:ind w:left="0" w:right="0" w:hanging="0"/>
              <w:jc w:val="right"/>
              <w:rPr/>
            </w:pPr>
            <w:r>
              <w:rPr/>
              <w:t>​</w:t>
            </w:r>
          </w:p>
        </w:tc>
        <w:tc>
          <w:tcPr>
            <w:tcW w:w="1681" w:type="dxa"/>
            <w:tcBorders/>
            <w:vAlign w:val="center"/>
          </w:tcPr>
          <w:p>
            <w:pPr>
              <w:pStyle w:val="TableContents"/>
              <w:bidi w:val="0"/>
              <w:spacing w:lineRule="auto" w:line="285" w:before="0" w:after="1"/>
              <w:ind w:left="0" w:right="0" w:hanging="0"/>
              <w:jc w:val="right"/>
              <w:rPr>
                <w:rFonts w:ascii="Times New Roman;Times;serif" w:hAnsi="Times New Roman;Times;serif"/>
                <w:sz w:val="20"/>
              </w:rPr>
            </w:pPr>
            <w:r>
              <w:rPr>
                <w:rFonts w:ascii="Times New Roman;Times;serif" w:hAnsi="Times New Roman;Times;serif"/>
                <w:sz w:val="20"/>
              </w:rPr>
              <w:t>693,962</w:t>
            </w:r>
          </w:p>
        </w:tc>
        <w:tc>
          <w:tcPr>
            <w:tcW w:w="109" w:type="dxa"/>
            <w:tcBorders/>
            <w:vAlign w:val="center"/>
          </w:tcPr>
          <w:p>
            <w:pPr>
              <w:pStyle w:val="TableContents"/>
              <w:bidi w:val="0"/>
              <w:spacing w:lineRule="auto" w:line="285" w:before="0" w:after="0"/>
              <w:ind w:left="0" w:right="0" w:hanging="0"/>
              <w:jc w:val="right"/>
              <w:rPr/>
            </w:pPr>
            <w:r>
              <w:rPr/>
              <w:t>​</w:t>
            </w:r>
          </w:p>
        </w:tc>
        <w:tc>
          <w:tcPr>
            <w:tcW w:w="211" w:type="dxa"/>
            <w:tcBorders/>
            <w:vAlign w:val="center"/>
          </w:tcPr>
          <w:p>
            <w:pPr>
              <w:pStyle w:val="TableContents"/>
              <w:bidi w:val="0"/>
              <w:spacing w:lineRule="auto" w:line="285" w:before="0" w:after="1"/>
              <w:ind w:left="0" w:right="0" w:hanging="0"/>
              <w:jc w:val="right"/>
              <w:rPr>
                <w:rFonts w:ascii="Times New Roman;Times;serif" w:hAnsi="Times New Roman;Times;serif"/>
                <w:sz w:val="20"/>
              </w:rPr>
            </w:pPr>
            <w:r>
              <w:rPr>
                <w:rFonts w:ascii="Times New Roman;Times;serif" w:hAnsi="Times New Roman;Times;serif"/>
                <w:sz w:val="20"/>
              </w:rPr>
              <w:t>$</w:t>
            </w:r>
          </w:p>
        </w:tc>
        <w:tc>
          <w:tcPr>
            <w:tcW w:w="1186" w:type="dxa"/>
            <w:tcBorders/>
            <w:vAlign w:val="center"/>
          </w:tcPr>
          <w:p>
            <w:pPr>
              <w:pStyle w:val="TableContents"/>
              <w:bidi w:val="0"/>
              <w:spacing w:lineRule="auto" w:line="285" w:before="0" w:after="1"/>
              <w:ind w:left="0" w:right="0" w:hanging="0"/>
              <w:jc w:val="right"/>
              <w:rPr>
                <w:rFonts w:ascii="Times New Roman;Times;serif" w:hAnsi="Times New Roman;Times;serif"/>
                <w:sz w:val="20"/>
              </w:rPr>
            </w:pPr>
            <w:r>
              <w:rPr>
                <w:rFonts w:ascii="Times New Roman;Times;serif" w:hAnsi="Times New Roman;Times;serif"/>
                <w:sz w:val="20"/>
              </w:rPr>
              <w:t xml:space="preserve">43.2300 </w:t>
            </w:r>
          </w:p>
        </w:tc>
        <w:tc>
          <w:tcPr>
            <w:tcW w:w="109" w:type="dxa"/>
            <w:tcBorders/>
            <w:vAlign w:val="center"/>
          </w:tcPr>
          <w:p>
            <w:pPr>
              <w:pStyle w:val="TableContents"/>
              <w:bidi w:val="0"/>
              <w:spacing w:lineRule="auto" w:line="285" w:before="0" w:after="0"/>
              <w:ind w:left="0" w:right="0" w:hanging="0"/>
              <w:jc w:val="right"/>
              <w:rPr/>
            </w:pPr>
            <w:r>
              <w:rPr/>
              <w:t>​</w:t>
            </w:r>
          </w:p>
        </w:tc>
        <w:tc>
          <w:tcPr>
            <w:tcW w:w="2461" w:type="dxa"/>
            <w:tcBorders/>
            <w:vAlign w:val="center"/>
          </w:tcPr>
          <w:p>
            <w:pPr>
              <w:pStyle w:val="TableContents"/>
              <w:bidi w:val="0"/>
              <w:spacing w:lineRule="auto" w:line="285" w:before="0" w:after="1"/>
              <w:ind w:left="0" w:right="0" w:hanging="0"/>
              <w:jc w:val="center"/>
              <w:rPr>
                <w:rFonts w:ascii="Times New Roman;Times;serif" w:hAnsi="Times New Roman;Times;serif"/>
                <w:sz w:val="20"/>
              </w:rPr>
            </w:pPr>
            <w:r>
              <w:rPr>
                <w:rFonts w:ascii="Times New Roman;Times;serif" w:hAnsi="Times New Roman;Times;serif"/>
                <w:sz w:val="20"/>
              </w:rPr>
              <w:t>September 2029 (latest date)</w:t>
            </w:r>
          </w:p>
        </w:tc>
      </w:tr>
      <w:tr>
        <w:trPr/>
        <w:tc>
          <w:tcPr>
            <w:tcW w:w="2386" w:type="dxa"/>
            <w:tcBorders/>
            <w:shd w:fill="CCEEFF" w:val="clear"/>
            <w:vAlign w:val="center"/>
          </w:tcPr>
          <w:p>
            <w:pPr>
              <w:pStyle w:val="TableContents"/>
              <w:bidi w:val="0"/>
              <w:spacing w:lineRule="auto" w:line="285" w:before="0" w:after="1"/>
              <w:ind w:left="0" w:right="0" w:hanging="0"/>
              <w:jc w:val="left"/>
              <w:rPr>
                <w:rFonts w:ascii="Times New Roman;Times;serif" w:hAnsi="Times New Roman;Times;serif"/>
                <w:sz w:val="20"/>
              </w:rPr>
            </w:pPr>
            <w:r>
              <w:rPr>
                <w:rFonts w:ascii="Times New Roman;Times;serif" w:hAnsi="Times New Roman;Times;serif"/>
                <w:sz w:val="20"/>
              </w:rPr>
              <w:t>January 2026 Series C</w:t>
            </w:r>
          </w:p>
        </w:tc>
        <w:tc>
          <w:tcPr>
            <w:tcW w:w="109" w:type="dxa"/>
            <w:tcBorders/>
            <w:shd w:fill="CCEEFF" w:val="clear"/>
            <w:vAlign w:val="center"/>
          </w:tcPr>
          <w:p>
            <w:pPr>
              <w:pStyle w:val="TableContents"/>
              <w:bidi w:val="0"/>
              <w:spacing w:lineRule="auto" w:line="285" w:before="0" w:after="0"/>
              <w:ind w:left="0" w:right="0" w:hanging="0"/>
              <w:jc w:val="right"/>
              <w:rPr/>
            </w:pPr>
            <w:r>
              <w:rPr/>
              <w:t>​</w:t>
            </w:r>
          </w:p>
        </w:tc>
        <w:tc>
          <w:tcPr>
            <w:tcW w:w="1246" w:type="dxa"/>
            <w:tcBorders/>
            <w:shd w:fill="CCEEFF" w:val="clear"/>
            <w:vAlign w:val="center"/>
          </w:tcPr>
          <w:p>
            <w:pPr>
              <w:pStyle w:val="TableContents"/>
              <w:bidi w:val="0"/>
              <w:spacing w:lineRule="auto" w:line="285" w:before="0" w:after="1"/>
              <w:ind w:left="0" w:right="0" w:hanging="0"/>
              <w:jc w:val="right"/>
              <w:rPr>
                <w:rFonts w:ascii="Times New Roman;Times;serif" w:hAnsi="Times New Roman;Times;serif"/>
                <w:sz w:val="20"/>
              </w:rPr>
            </w:pPr>
            <w:r>
              <w:rPr>
                <w:rFonts w:ascii="Times New Roman;Times;serif" w:hAnsi="Times New Roman;Times;serif"/>
                <w:sz w:val="20"/>
              </w:rPr>
              <w:t>4,478,322</w:t>
            </w:r>
          </w:p>
        </w:tc>
        <w:tc>
          <w:tcPr>
            <w:tcW w:w="109" w:type="dxa"/>
            <w:tcBorders/>
            <w:shd w:fill="CCEEFF" w:val="clear"/>
            <w:vAlign w:val="center"/>
          </w:tcPr>
          <w:p>
            <w:pPr>
              <w:pStyle w:val="TableContents"/>
              <w:bidi w:val="0"/>
              <w:spacing w:lineRule="auto" w:line="285" w:before="0" w:after="0"/>
              <w:ind w:left="0" w:right="0" w:hanging="0"/>
              <w:jc w:val="right"/>
              <w:rPr/>
            </w:pPr>
            <w:r>
              <w:rPr/>
              <w:t>​</w:t>
            </w:r>
          </w:p>
        </w:tc>
        <w:tc>
          <w:tcPr>
            <w:tcW w:w="1681" w:type="dxa"/>
            <w:tcBorders/>
            <w:shd w:fill="CCEEFF" w:val="clear"/>
            <w:vAlign w:val="center"/>
          </w:tcPr>
          <w:p>
            <w:pPr>
              <w:pStyle w:val="TableContents"/>
              <w:bidi w:val="0"/>
              <w:spacing w:lineRule="auto" w:line="285" w:before="0" w:after="1"/>
              <w:ind w:left="0" w:right="0" w:hanging="0"/>
              <w:jc w:val="right"/>
              <w:rPr/>
            </w:pPr>
            <w:r>
              <w:rPr/>
              <w:t>—</w:t>
            </w:r>
          </w:p>
        </w:tc>
        <w:tc>
          <w:tcPr>
            <w:tcW w:w="109" w:type="dxa"/>
            <w:tcBorders/>
            <w:shd w:fill="CCEEFF" w:val="clear"/>
            <w:vAlign w:val="center"/>
          </w:tcPr>
          <w:p>
            <w:pPr>
              <w:pStyle w:val="TableContents"/>
              <w:bidi w:val="0"/>
              <w:spacing w:lineRule="auto" w:line="285" w:before="0" w:after="0"/>
              <w:ind w:left="0" w:right="0" w:hanging="0"/>
              <w:jc w:val="right"/>
              <w:rPr/>
            </w:pPr>
            <w:r>
              <w:rPr/>
              <w:t>​</w:t>
            </w:r>
          </w:p>
        </w:tc>
        <w:tc>
          <w:tcPr>
            <w:tcW w:w="211" w:type="dxa"/>
            <w:tcBorders/>
            <w:shd w:fill="CCEEFF" w:val="clear"/>
            <w:vAlign w:val="center"/>
          </w:tcPr>
          <w:p>
            <w:pPr>
              <w:pStyle w:val="TableContents"/>
              <w:bidi w:val="0"/>
              <w:spacing w:lineRule="auto" w:line="285" w:before="0" w:after="1"/>
              <w:ind w:left="0" w:right="0" w:hanging="0"/>
              <w:jc w:val="right"/>
              <w:rPr>
                <w:rFonts w:ascii="Times New Roman;Times;serif" w:hAnsi="Times New Roman;Times;serif"/>
                <w:sz w:val="20"/>
              </w:rPr>
            </w:pPr>
            <w:r>
              <w:rPr>
                <w:rFonts w:ascii="Times New Roman;Times;serif" w:hAnsi="Times New Roman;Times;serif"/>
                <w:sz w:val="20"/>
              </w:rPr>
              <w:t>$</w:t>
            </w:r>
          </w:p>
        </w:tc>
        <w:tc>
          <w:tcPr>
            <w:tcW w:w="1186" w:type="dxa"/>
            <w:tcBorders/>
            <w:shd w:fill="CCEEFF" w:val="clear"/>
            <w:vAlign w:val="center"/>
          </w:tcPr>
          <w:p>
            <w:pPr>
              <w:pStyle w:val="TableContents"/>
              <w:bidi w:val="0"/>
              <w:spacing w:lineRule="auto" w:line="285" w:before="0" w:after="1"/>
              <w:ind w:left="0" w:right="0" w:hanging="0"/>
              <w:jc w:val="right"/>
              <w:rPr>
                <w:rFonts w:ascii="Times New Roman;Times;serif" w:hAnsi="Times New Roman;Times;serif"/>
                <w:sz w:val="20"/>
              </w:rPr>
            </w:pPr>
            <w:r>
              <w:rPr>
                <w:rFonts w:ascii="Times New Roman;Times;serif" w:hAnsi="Times New Roman;Times;serif"/>
                <w:sz w:val="20"/>
              </w:rPr>
              <w:t xml:space="preserve">3.1000 </w:t>
            </w:r>
          </w:p>
        </w:tc>
        <w:tc>
          <w:tcPr>
            <w:tcW w:w="109" w:type="dxa"/>
            <w:tcBorders/>
            <w:shd w:fill="CCEEFF" w:val="clear"/>
            <w:vAlign w:val="center"/>
          </w:tcPr>
          <w:p>
            <w:pPr>
              <w:pStyle w:val="TableContents"/>
              <w:bidi w:val="0"/>
              <w:spacing w:lineRule="auto" w:line="285" w:before="0" w:after="0"/>
              <w:ind w:left="0" w:right="0" w:hanging="0"/>
              <w:jc w:val="right"/>
              <w:rPr/>
            </w:pPr>
            <w:r>
              <w:rPr/>
              <w:t>​</w:t>
            </w:r>
          </w:p>
        </w:tc>
        <w:tc>
          <w:tcPr>
            <w:tcW w:w="2461" w:type="dxa"/>
            <w:tcBorders/>
            <w:shd w:fill="CCEEFF" w:val="clear"/>
            <w:vAlign w:val="center"/>
          </w:tcPr>
          <w:p>
            <w:pPr>
              <w:pStyle w:val="TableContents"/>
              <w:bidi w:val="0"/>
              <w:spacing w:lineRule="auto" w:line="285" w:before="0" w:after="1"/>
              <w:ind w:left="0" w:right="0" w:hanging="0"/>
              <w:jc w:val="center"/>
              <w:rPr>
                <w:rFonts w:ascii="Times New Roman;Times;serif" w:hAnsi="Times New Roman;Times;serif"/>
                <w:sz w:val="20"/>
              </w:rPr>
            </w:pPr>
            <w:r>
              <w:rPr>
                <w:rFonts w:ascii="Times New Roman;Times;serif" w:hAnsi="Times New Roman;Times;serif"/>
                <w:sz w:val="20"/>
              </w:rPr>
              <w:t>January 2031</w:t>
            </w:r>
          </w:p>
        </w:tc>
      </w:tr>
      <w:tr>
        <w:trPr/>
        <w:tc>
          <w:tcPr>
            <w:tcW w:w="2386" w:type="dxa"/>
            <w:tcBorders>
              <w:bottom w:val="single" w:sz="2" w:space="0" w:color="000000"/>
            </w:tcBorders>
            <w:tcMar>
              <w:bottom w:w="28" w:type="dxa"/>
            </w:tcMar>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20"/>
              </w:rPr>
              <w:t xml:space="preserve">January 2026 Series D </w:t>
            </w:r>
            <w:r>
              <w:rPr>
                <w:rFonts w:ascii="Times New Roman;Times;serif" w:hAnsi="Times New Roman;Times;serif"/>
                <w:sz w:val="15"/>
              </w:rPr>
              <w:t>(3)</w:t>
            </w:r>
          </w:p>
        </w:tc>
        <w:tc>
          <w:tcPr>
            <w:tcW w:w="109"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pPr>
            <w:r>
              <w:rPr/>
              <w:t>​</w:t>
            </w:r>
          </w:p>
        </w:tc>
        <w:tc>
          <w:tcPr>
            <w:tcW w:w="1246" w:type="dxa"/>
            <w:tcBorders>
              <w:bottom w:val="single" w:sz="2" w:space="0" w:color="000000"/>
            </w:tcBorders>
            <w:tcMar>
              <w:bottom w:w="28" w:type="dxa"/>
            </w:tcMar>
            <w:vAlign w:val="center"/>
          </w:tcPr>
          <w:p>
            <w:pPr>
              <w:pStyle w:val="TableContents"/>
              <w:bidi w:val="0"/>
              <w:spacing w:lineRule="auto" w:line="285" w:before="0" w:after="1"/>
              <w:ind w:left="0" w:right="0" w:hanging="0"/>
              <w:jc w:val="right"/>
              <w:rPr>
                <w:rFonts w:ascii="Times New Roman;Times;serif" w:hAnsi="Times New Roman;Times;serif"/>
                <w:sz w:val="20"/>
              </w:rPr>
            </w:pPr>
            <w:r>
              <w:rPr>
                <w:rFonts w:ascii="Times New Roman;Times;serif" w:hAnsi="Times New Roman;Times;serif"/>
                <w:sz w:val="20"/>
              </w:rPr>
              <w:t>3,758,822</w:t>
            </w:r>
          </w:p>
        </w:tc>
        <w:tc>
          <w:tcPr>
            <w:tcW w:w="109"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pPr>
            <w:r>
              <w:rPr/>
              <w:t>​</w:t>
            </w:r>
          </w:p>
        </w:tc>
        <w:tc>
          <w:tcPr>
            <w:tcW w:w="1681" w:type="dxa"/>
            <w:tcBorders>
              <w:bottom w:val="single" w:sz="2" w:space="0" w:color="000000"/>
            </w:tcBorders>
            <w:tcMar>
              <w:bottom w:w="28" w:type="dxa"/>
            </w:tcMar>
            <w:vAlign w:val="center"/>
          </w:tcPr>
          <w:p>
            <w:pPr>
              <w:pStyle w:val="TableContents"/>
              <w:bidi w:val="0"/>
              <w:spacing w:lineRule="auto" w:line="285" w:before="0" w:after="1"/>
              <w:ind w:left="0" w:right="0" w:hanging="0"/>
              <w:jc w:val="right"/>
              <w:rPr/>
            </w:pPr>
            <w:r>
              <w:rPr/>
              <w:t>—</w:t>
            </w:r>
          </w:p>
        </w:tc>
        <w:tc>
          <w:tcPr>
            <w:tcW w:w="109" w:type="dxa"/>
            <w:tcBorders/>
            <w:vAlign w:val="center"/>
          </w:tcPr>
          <w:p>
            <w:pPr>
              <w:pStyle w:val="TableContents"/>
              <w:bidi w:val="0"/>
              <w:spacing w:lineRule="auto" w:line="285" w:before="0" w:after="0"/>
              <w:ind w:left="0" w:right="0" w:hanging="0"/>
              <w:jc w:val="right"/>
              <w:rPr/>
            </w:pPr>
            <w:r>
              <w:rPr/>
              <w:t>​</w:t>
            </w:r>
          </w:p>
        </w:tc>
        <w:tc>
          <w:tcPr>
            <w:tcW w:w="211" w:type="dxa"/>
            <w:tcBorders/>
            <w:vAlign w:val="center"/>
          </w:tcPr>
          <w:p>
            <w:pPr>
              <w:pStyle w:val="TableContents"/>
              <w:bidi w:val="0"/>
              <w:spacing w:lineRule="auto" w:line="285" w:before="0" w:after="1"/>
              <w:ind w:left="0" w:right="0" w:hanging="0"/>
              <w:jc w:val="right"/>
              <w:rPr>
                <w:rFonts w:ascii="Times New Roman;Times;serif" w:hAnsi="Times New Roman;Times;serif"/>
                <w:sz w:val="20"/>
              </w:rPr>
            </w:pPr>
            <w:r>
              <w:rPr>
                <w:rFonts w:ascii="Times New Roman;Times;serif" w:hAnsi="Times New Roman;Times;serif"/>
                <w:sz w:val="20"/>
              </w:rPr>
              <w:t>$</w:t>
            </w:r>
          </w:p>
        </w:tc>
        <w:tc>
          <w:tcPr>
            <w:tcW w:w="1186" w:type="dxa"/>
            <w:tcBorders/>
            <w:vAlign w:val="center"/>
          </w:tcPr>
          <w:p>
            <w:pPr>
              <w:pStyle w:val="TableContents"/>
              <w:bidi w:val="0"/>
              <w:spacing w:lineRule="auto" w:line="285" w:before="0" w:after="1"/>
              <w:ind w:left="0" w:right="0" w:hanging="0"/>
              <w:jc w:val="right"/>
              <w:rPr>
                <w:rFonts w:ascii="Times New Roman;Times;serif" w:hAnsi="Times New Roman;Times;serif"/>
                <w:sz w:val="20"/>
              </w:rPr>
            </w:pPr>
            <w:r>
              <w:rPr>
                <w:rFonts w:ascii="Times New Roman;Times;serif" w:hAnsi="Times New Roman;Times;serif"/>
                <w:sz w:val="20"/>
              </w:rPr>
              <w:t xml:space="preserve">3.1000 </w:t>
            </w:r>
          </w:p>
        </w:tc>
        <w:tc>
          <w:tcPr>
            <w:tcW w:w="109" w:type="dxa"/>
            <w:tcBorders/>
            <w:vAlign w:val="center"/>
          </w:tcPr>
          <w:p>
            <w:pPr>
              <w:pStyle w:val="TableContents"/>
              <w:bidi w:val="0"/>
              <w:spacing w:lineRule="auto" w:line="285" w:before="0" w:after="0"/>
              <w:ind w:left="0" w:right="0" w:hanging="0"/>
              <w:jc w:val="right"/>
              <w:rPr/>
            </w:pPr>
            <w:r>
              <w:rPr/>
              <w:t>​</w:t>
            </w:r>
          </w:p>
        </w:tc>
        <w:tc>
          <w:tcPr>
            <w:tcW w:w="2461" w:type="dxa"/>
            <w:tcBorders/>
            <w:vAlign w:val="center"/>
          </w:tcPr>
          <w:p>
            <w:pPr>
              <w:pStyle w:val="TableContents"/>
              <w:bidi w:val="0"/>
              <w:spacing w:lineRule="auto" w:line="285" w:before="0" w:after="1"/>
              <w:ind w:left="0" w:right="0" w:hanging="0"/>
              <w:jc w:val="center"/>
              <w:rPr>
                <w:rFonts w:ascii="Times New Roman;Times;serif" w:hAnsi="Times New Roman;Times;serif"/>
                <w:sz w:val="20"/>
              </w:rPr>
            </w:pPr>
            <w:r>
              <w:rPr>
                <w:rFonts w:ascii="Times New Roman;Times;serif" w:hAnsi="Times New Roman;Times;serif"/>
                <w:sz w:val="20"/>
              </w:rPr>
              <w:t>January 2028</w:t>
            </w:r>
          </w:p>
        </w:tc>
      </w:tr>
      <w:tr>
        <w:trPr/>
        <w:tc>
          <w:tcPr>
            <w:tcW w:w="2386" w:type="dxa"/>
            <w:tcBorders>
              <w:bottom w:val="double" w:sz="6" w:space="0" w:color="000000"/>
            </w:tcBorders>
            <w:shd w:fill="CCEEFF" w:val="clear"/>
            <w:tcMar>
              <w:bottom w:w="28" w:type="dxa"/>
            </w:tcMar>
            <w:vAlign w:val="center"/>
          </w:tcPr>
          <w:p>
            <w:pPr>
              <w:pStyle w:val="TableContents"/>
              <w:bidi w:val="0"/>
              <w:spacing w:lineRule="auto" w:line="285" w:before="0" w:after="1"/>
              <w:ind w:left="0" w:right="0" w:hanging="0"/>
              <w:jc w:val="left"/>
              <w:rPr>
                <w:rFonts w:ascii="Times New Roman;Times;serif" w:hAnsi="Times New Roman;Times;serif"/>
                <w:sz w:val="20"/>
              </w:rPr>
            </w:pPr>
            <w:r>
              <w:rPr>
                <w:rFonts w:ascii="Times New Roman;Times;serif" w:hAnsi="Times New Roman;Times;serif"/>
                <w:sz w:val="20"/>
              </w:rPr>
              <w:t>Total</w:t>
            </w:r>
          </w:p>
        </w:tc>
        <w:tc>
          <w:tcPr>
            <w:tcW w:w="109"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1246" w:type="dxa"/>
            <w:tcBorders>
              <w:bottom w:val="double" w:sz="6" w:space="0" w:color="000000"/>
            </w:tcBorders>
            <w:shd w:fill="CCEEFF" w:val="clear"/>
            <w:tcMar>
              <w:bottom w:w="28" w:type="dxa"/>
            </w:tcMar>
            <w:vAlign w:val="center"/>
          </w:tcPr>
          <w:p>
            <w:pPr>
              <w:pStyle w:val="TableContents"/>
              <w:bidi w:val="0"/>
              <w:spacing w:lineRule="auto" w:line="285" w:before="0" w:after="1"/>
              <w:ind w:left="0" w:right="0" w:hanging="0"/>
              <w:jc w:val="right"/>
              <w:rPr>
                <w:rFonts w:ascii="Times New Roman;Times;serif" w:hAnsi="Times New Roman;Times;serif"/>
                <w:sz w:val="20"/>
              </w:rPr>
            </w:pPr>
            <w:r>
              <w:rPr>
                <w:rFonts w:ascii="Times New Roman;Times;serif" w:hAnsi="Times New Roman;Times;serif"/>
                <w:sz w:val="20"/>
              </w:rPr>
              <w:t>8,959,788</w:t>
            </w:r>
          </w:p>
        </w:tc>
        <w:tc>
          <w:tcPr>
            <w:tcW w:w="109"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1681" w:type="dxa"/>
            <w:tcBorders>
              <w:bottom w:val="double" w:sz="6" w:space="0" w:color="000000"/>
            </w:tcBorders>
            <w:shd w:fill="CCEEFF" w:val="clear"/>
            <w:tcMar>
              <w:bottom w:w="28" w:type="dxa"/>
            </w:tcMar>
            <w:vAlign w:val="center"/>
          </w:tcPr>
          <w:p>
            <w:pPr>
              <w:pStyle w:val="TableContents"/>
              <w:bidi w:val="0"/>
              <w:spacing w:lineRule="auto" w:line="285" w:before="0" w:after="1"/>
              <w:ind w:left="0" w:right="0" w:hanging="0"/>
              <w:jc w:val="right"/>
              <w:rPr>
                <w:rFonts w:ascii="Times New Roman;Times;serif" w:hAnsi="Times New Roman;Times;serif"/>
                <w:sz w:val="20"/>
              </w:rPr>
            </w:pPr>
            <w:r>
              <w:rPr>
                <w:rFonts w:ascii="Times New Roman;Times;serif" w:hAnsi="Times New Roman;Times;serif"/>
                <w:sz w:val="20"/>
              </w:rPr>
              <w:t>722,644</w:t>
            </w:r>
          </w:p>
        </w:tc>
        <w:tc>
          <w:tcPr>
            <w:tcW w:w="109" w:type="dxa"/>
            <w:tcBorders/>
            <w:shd w:fill="CCEEFF" w:val="clear"/>
            <w:vAlign w:val="center"/>
          </w:tcPr>
          <w:p>
            <w:pPr>
              <w:pStyle w:val="TableContents"/>
              <w:bidi w:val="0"/>
              <w:spacing w:lineRule="auto" w:line="285" w:before="0" w:after="0"/>
              <w:ind w:left="0" w:right="0" w:hanging="0"/>
              <w:jc w:val="right"/>
              <w:rPr/>
            </w:pPr>
            <w:r>
              <w:rPr/>
              <w:t>​</w:t>
            </w:r>
          </w:p>
        </w:tc>
        <w:tc>
          <w:tcPr>
            <w:tcW w:w="211" w:type="dxa"/>
            <w:tcBorders/>
            <w:shd w:fill="CCEEFF" w:val="clear"/>
            <w:vAlign w:val="center"/>
          </w:tcPr>
          <w:p>
            <w:pPr>
              <w:pStyle w:val="TableContents"/>
              <w:bidi w:val="0"/>
              <w:spacing w:lineRule="auto" w:line="285" w:before="0" w:after="0"/>
              <w:ind w:left="0" w:right="0" w:hanging="0"/>
              <w:jc w:val="right"/>
              <w:rPr/>
            </w:pPr>
            <w:r>
              <w:rPr/>
              <w:t>​</w:t>
            </w:r>
          </w:p>
        </w:tc>
        <w:tc>
          <w:tcPr>
            <w:tcW w:w="1186" w:type="dxa"/>
            <w:tcBorders/>
            <w:shd w:fill="CCEEFF" w:val="clear"/>
            <w:vAlign w:val="center"/>
          </w:tcPr>
          <w:p>
            <w:pPr>
              <w:pStyle w:val="TableContents"/>
              <w:bidi w:val="0"/>
              <w:spacing w:lineRule="auto" w:line="285" w:before="0" w:after="0"/>
              <w:ind w:left="0" w:right="0" w:hanging="0"/>
              <w:jc w:val="left"/>
              <w:rPr/>
            </w:pPr>
            <w:r>
              <w:rPr/>
              <w:t>​</w:t>
            </w:r>
          </w:p>
        </w:tc>
        <w:tc>
          <w:tcPr>
            <w:tcW w:w="109" w:type="dxa"/>
            <w:tcBorders/>
            <w:shd w:fill="CCEEFF" w:val="clear"/>
            <w:vAlign w:val="center"/>
          </w:tcPr>
          <w:p>
            <w:pPr>
              <w:pStyle w:val="TableContents"/>
              <w:bidi w:val="0"/>
              <w:spacing w:lineRule="auto" w:line="285" w:before="0" w:after="0"/>
              <w:ind w:left="0" w:right="0" w:hanging="0"/>
              <w:jc w:val="right"/>
              <w:rPr/>
            </w:pPr>
            <w:r>
              <w:rPr/>
              <w:t>​</w:t>
            </w:r>
          </w:p>
        </w:tc>
        <w:tc>
          <w:tcPr>
            <w:tcW w:w="2461" w:type="dxa"/>
            <w:tcBorders/>
            <w:shd w:fill="CCEEFF" w:val="clear"/>
            <w:vAlign w:val="center"/>
          </w:tcPr>
          <w:p>
            <w:pPr>
              <w:pStyle w:val="TableContents"/>
              <w:bidi w:val="0"/>
              <w:spacing w:lineRule="auto" w:line="285" w:before="0" w:after="0"/>
              <w:ind w:left="0" w:right="0" w:hanging="0"/>
              <w:jc w:val="center"/>
              <w:rPr/>
            </w:pPr>
            <w:r>
              <w:rPr/>
              <w:t>​</w:t>
            </w:r>
          </w:p>
        </w:tc>
      </w:tr>
    </w:tbl>
    <w:p>
      <w:pPr>
        <w:pStyle w:val="TextBody"/>
        <w:bidi w:val="0"/>
        <w:spacing w:lineRule="auto" w:line="285" w:before="0" w:after="80"/>
        <w:ind w:left="360" w:right="360" w:hanging="0"/>
        <w:jc w:val="both"/>
        <w:rPr>
          <w:rFonts w:ascii="Helvetica;sans-serif" w:hAnsi="Helvetica;sans-serif"/>
          <w:sz w:val="22"/>
        </w:rPr>
      </w:pPr>
      <w:r>
        <w:rPr>
          <w:rFonts w:ascii="Times New Roman;Times;serif" w:hAnsi="Times New Roman;Times;serif"/>
          <w:sz w:val="15"/>
        </w:rPr>
        <w:t>(1)</w:t>
      </w:r>
      <w:r>
        <w:rPr>
          <w:rFonts w:ascii="Times New Roman;Times;serif" w:hAnsi="Times New Roman;Times;serif"/>
          <w:sz w:val="20"/>
        </w:rPr>
        <w:t>These warrants have a cashless exercise provision whereby the warrants can be exercised for common stock for no</w:t>
      </w:r>
      <w:r>
        <w:rPr>
          <w:rFonts w:ascii="Helvetica;sans-serif" w:hAnsi="Helvetica;sans-serif"/>
          <w:sz w:val="22"/>
        </w:rPr>
        <w:t xml:space="preserve"> </w:t>
      </w:r>
      <w:r>
        <w:rPr>
          <w:rFonts w:ascii="Times New Roman;Times;serif" w:hAnsi="Times New Roman;Times;serif"/>
          <w:sz w:val="20"/>
        </w:rPr>
        <w:t>additional consideration, which renders the $264.00</w:t>
      </w:r>
      <w:r>
        <w:rPr>
          <w:rFonts w:ascii="Helvetica;sans-serif" w:hAnsi="Helvetica;sans-serif"/>
          <w:sz w:val="22"/>
        </w:rPr>
        <w:t xml:space="preserve"> </w:t>
      </w:r>
      <w:r>
        <w:rPr>
          <w:rFonts w:ascii="Times New Roman;Times;serif" w:hAnsi="Times New Roman;Times;serif"/>
          <w:sz w:val="20"/>
        </w:rPr>
        <w:t>per warrant exercise price to be zero.</w:t>
      </w:r>
    </w:p>
    <w:p>
      <w:pPr>
        <w:pStyle w:val="TextBody"/>
        <w:bidi w:val="0"/>
        <w:spacing w:lineRule="auto" w:line="285" w:before="0" w:after="80"/>
        <w:ind w:left="360" w:right="360" w:hanging="0"/>
        <w:jc w:val="both"/>
        <w:rPr>
          <w:rFonts w:ascii="Helvetica;sans-serif" w:hAnsi="Helvetica;sans-serif"/>
          <w:sz w:val="22"/>
        </w:rPr>
      </w:pPr>
      <w:r>
        <w:rPr>
          <w:rFonts w:ascii="Times New Roman;Times;serif" w:hAnsi="Times New Roman;Times;serif"/>
          <w:sz w:val="15"/>
        </w:rPr>
        <w:t>(2)</w:t>
      </w:r>
      <w:r>
        <w:rPr>
          <w:rFonts w:ascii="Times New Roman;Times;serif" w:hAnsi="Times New Roman;Times;serif"/>
          <w:sz w:val="20"/>
        </w:rPr>
        <w:t>These warrants expire on the earlier of September 18, 2029 and the six months</w:t>
      </w:r>
      <w:r>
        <w:rPr>
          <w:rFonts w:ascii="Helvetica;sans-serif" w:hAnsi="Helvetica;sans-serif"/>
          <w:sz w:val="22"/>
        </w:rPr>
        <w:t xml:space="preserve"> </w:t>
      </w:r>
      <w:r>
        <w:rPr>
          <w:rFonts w:ascii="Times New Roman;Times;serif" w:hAnsi="Times New Roman;Times;serif"/>
          <w:sz w:val="20"/>
        </w:rPr>
        <w:t>anniversary following the date on which we publicly announce a positive data readout for our Phase 1, Part 3 clinical trial for DA-1726.</w:t>
      </w:r>
    </w:p>
    <w:p>
      <w:pPr>
        <w:pStyle w:val="TextBody"/>
        <w:bidi w:val="0"/>
        <w:spacing w:lineRule="auto" w:line="285"/>
        <w:ind w:left="360" w:right="360" w:hanging="0"/>
        <w:jc w:val="both"/>
        <w:rPr>
          <w:rFonts w:ascii="Helvetica;sans-serif" w:hAnsi="Helvetica;sans-serif"/>
          <w:sz w:val="22"/>
        </w:rPr>
      </w:pPr>
      <w:r>
        <w:rPr>
          <w:rFonts w:ascii="Times New Roman;Times;serif" w:hAnsi="Times New Roman;Times;serif"/>
          <w:sz w:val="15"/>
        </w:rPr>
        <w:t>(3)</w:t>
      </w:r>
      <w:r>
        <w:rPr>
          <w:rFonts w:ascii="Times New Roman;Times;serif" w:hAnsi="Times New Roman;Times;serif"/>
          <w:sz w:val="20"/>
        </w:rPr>
        <w:t>These warrants are callable at our option following the release of a positive data readout for our Phase 1, Part 3 clinical trial for DA-1726 via a widely disseminated press release, subject to the satisfaction of certain conditions.</w:t>
      </w:r>
    </w:p>
    <w:p>
      <w:pPr>
        <w:pStyle w:val="TextBody"/>
        <w:bidi w:val="0"/>
        <w:spacing w:lineRule="auto" w:line="285" w:before="0" w:after="160"/>
        <w:ind w:left="0" w:right="0" w:hanging="0"/>
        <w:jc w:val="left"/>
        <w:rPr>
          <w:rFonts w:ascii="Times New Roman;Times;serif" w:hAnsi="Times New Roman;Times;serif"/>
          <w:sz w:val="20"/>
        </w:rPr>
      </w:pPr>
      <w:r>
        <w:rPr>
          <w:rFonts w:ascii="Times New Roman;Times;serif" w:hAnsi="Times New Roman;Times;serif"/>
          <w:b/>
          <w:sz w:val="20"/>
        </w:rPr>
        <w:t>Stock-based compensation</w:t>
      </w:r>
      <w:r>
        <w:rPr>
          <w:rFonts w:ascii="Times New Roman;Times;serif" w:hAnsi="Times New Roman;Times;serif"/>
          <w:sz w:val="20"/>
        </w:rPr>
        <w:t xml:space="preserve"> </w:t>
      </w:r>
    </w:p>
    <w:p>
      <w:pPr>
        <w:pStyle w:val="TextBody"/>
        <w:bidi w:val="0"/>
        <w:spacing w:lineRule="auto" w:line="285" w:before="160" w:after="160"/>
        <w:ind w:left="0" w:right="0" w:hanging="0"/>
        <w:jc w:val="both"/>
        <w:rPr>
          <w:rFonts w:ascii="Times New Roman;Times;serif" w:hAnsi="Times New Roman;Times;serif"/>
          <w:i/>
          <w:sz w:val="20"/>
        </w:rPr>
      </w:pPr>
      <w:r>
        <w:rPr>
          <w:rFonts w:ascii="Times New Roman;Times;serif" w:hAnsi="Times New Roman;Times;serif"/>
          <w:i/>
          <w:sz w:val="20"/>
        </w:rPr>
        <w:t>Stock-based award plans</w:t>
      </w:r>
    </w:p>
    <w:p>
      <w:pPr>
        <w:pStyle w:val="TextBody"/>
        <w:pBdr/>
        <w:bidi w:val="0"/>
        <w:spacing w:lineRule="auto" w:line="285" w:before="0" w:after="0"/>
        <w:ind w:left="0" w:right="0" w:hanging="0"/>
        <w:jc w:val="both"/>
        <w:rPr>
          <w:rFonts w:ascii="Times New Roman;Times;serif" w:hAnsi="Times New Roman;Times;serif"/>
          <w:sz w:val="20"/>
        </w:rPr>
      </w:pPr>
      <w:r>
        <w:rPr>
          <w:rFonts w:ascii="Times New Roman;Times;serif" w:hAnsi="Times New Roman;Times;serif"/>
          <w:sz w:val="20"/>
          <w:shd w:fill="FFFFFF" w:val="clear"/>
        </w:rPr>
        <w:t>Our Amended and Restated 2022 Equity Incentive Plan (the “2022 Plan”) provides for an a</w:t>
      </w:r>
      <w:r>
        <w:rPr>
          <w:rFonts w:ascii="Times New Roman;Times;serif" w:hAnsi="Times New Roman;Times;serif"/>
          <w:sz w:val="20"/>
        </w:rPr>
        <w:t xml:space="preserve">utomatic increase on January 1st of each year for a period of eight years commencing on January 1, 2025 and ending on (and including) January 1, 2032, of the aggregate number of shares of common stock that may be issued pursuant to Awards (as defined in the 2022 Plan) to an amount equal to 10% of the Fully Diluted Shares (as defined in the 2022 Plan) as of the last day of the preceding calendar year. Accordingly, in January 2026, the 2022 Plan automatically increased the aggregate number of shares of common stock that may be issued pursuant to Awards by 94,236 shares. </w:t>
      </w:r>
    </w:p>
    <w:p>
      <w:pPr>
        <w:pStyle w:val="TextBody"/>
        <w:pBdr/>
        <w:shd w:fill="FFFFFF" w:val="clear"/>
        <w:bidi w:val="0"/>
        <w:spacing w:lineRule="auto" w:line="285" w:before="0" w:after="0"/>
        <w:ind w:left="0" w:right="0" w:hanging="0"/>
        <w:jc w:val="both"/>
        <w:rPr>
          <w:rFonts w:ascii="Times New Roman;Times;serif" w:hAnsi="Times New Roman;Times;serif"/>
          <w:sz w:val="20"/>
        </w:rPr>
      </w:pPr>
      <w:r>
        <w:rPr>
          <w:rFonts w:ascii="Times New Roman;Times;serif" w:hAnsi="Times New Roman;Times;serif"/>
          <w:sz w:val="20"/>
        </w:rPr>
        <w:t>In June 2026, at our 2026 virtual annual meeting of stockholders, the Company’s stockholders approved the first amendment to the 2022 Plan (the “First Amendment”), which was previously approved by the Board of Directors of the Company. The First Amendment became effective upon stockholder approval, and provides for an increase in the aggregate number of shares of our common stock that may be issued pursuant to the 2022 Plan by 200,000 shares. Except as amended by the First Amendment, the other terms of the 2022 Plan remain in full force and effect.</w:t>
      </w:r>
    </w:p>
    <w:p>
      <w:pPr>
        <w:pStyle w:val="TextBody"/>
        <w:shd w:fill="FFFFFF" w:val="clear"/>
        <w:bidi w:val="0"/>
        <w:spacing w:lineRule="auto" w:line="285" w:before="0" w:after="160"/>
        <w:ind w:left="0" w:right="0" w:hanging="0"/>
        <w:jc w:val="both"/>
        <w:rPr>
          <w:rFonts w:ascii="Times New Roman;Times;serif" w:hAnsi="Times New Roman;Times;serif"/>
          <w:sz w:val="20"/>
        </w:rPr>
      </w:pPr>
      <w:r>
        <w:rPr>
          <w:rFonts w:ascii="Times New Roman;Times;serif" w:hAnsi="Times New Roman;Times;serif"/>
          <w:sz w:val="20"/>
        </w:rPr>
        <w:t>The following table summarizes the outstanding awards issued pursuant to our stock-based award plans and inducement plan as of June 30, 2026 and the remaining shares of common stock available for future issuance:</w:t>
      </w:r>
    </w:p>
    <w:p>
      <w:pPr>
        <w:pStyle w:val="TextBody"/>
        <w:bidi w:val="0"/>
        <w:spacing w:lineRule="auto" w:line="285" w:before="0" w:after="0"/>
        <w:ind w:left="0" w:right="0" w:hanging="0"/>
        <w:jc w:val="left"/>
        <w:rPr/>
      </w:pPr>
      <w:r>
        <w:rPr/>
        <w:t>​</w:t>
      </w:r>
    </w:p>
    <w:tbl>
      <w:tblPr>
        <w:tblW w:w="5941" w:type="dxa"/>
        <w:jc w:val="left"/>
        <w:tblInd w:w="0" w:type="dxa"/>
        <w:tblLayout w:type="fixed"/>
        <w:tblCellMar>
          <w:top w:w="0" w:type="dxa"/>
          <w:left w:w="0" w:type="dxa"/>
          <w:bottom w:w="0" w:type="dxa"/>
          <w:right w:w="0" w:type="dxa"/>
        </w:tblCellMar>
      </w:tblPr>
      <w:tblGrid>
        <w:gridCol w:w="1951"/>
        <w:gridCol w:w="109"/>
        <w:gridCol w:w="751"/>
        <w:gridCol w:w="109"/>
        <w:gridCol w:w="781"/>
        <w:gridCol w:w="109"/>
        <w:gridCol w:w="2131"/>
      </w:tblGrid>
      <w:tr>
        <w:trPr/>
        <w:tc>
          <w:tcPr>
            <w:tcW w:w="19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1238885" cy="175260"/>
                      <wp:effectExtent l="0" t="0" r="0" b="0"/>
                      <wp:wrapNone/>
                      <wp:docPr id="91" name="Frame90"/>
                      <a:graphic xmlns:a="http://schemas.openxmlformats.org/drawingml/2006/main">
                        <a:graphicData uri="http://schemas.microsoft.com/office/word/2010/wordprocessingShape">
                          <wps:wsp>
                            <wps:cNvSpPr txBox="1"/>
                            <wps:spPr>
                              <a:xfrm>
                                <a:off x="0" y="0"/>
                                <a:ext cx="12388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9215" cy="175260"/>
                      <wp:effectExtent l="0" t="0" r="0" b="0"/>
                      <wp:wrapNone/>
                      <wp:docPr id="92" name="Frame9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7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476885" cy="175260"/>
                      <wp:effectExtent l="0" t="0" r="0" b="0"/>
                      <wp:wrapNone/>
                      <wp:docPr id="93" name="Frame92"/>
                      <a:graphic xmlns:a="http://schemas.openxmlformats.org/drawingml/2006/main">
                        <a:graphicData uri="http://schemas.microsoft.com/office/word/2010/wordprocessingShape">
                          <wps:wsp>
                            <wps:cNvSpPr txBox="1"/>
                            <wps:spPr>
                              <a:xfrm>
                                <a:off x="0" y="0"/>
                                <a:ext cx="4768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9215" cy="175260"/>
                      <wp:effectExtent l="0" t="0" r="0" b="0"/>
                      <wp:wrapNone/>
                      <wp:docPr id="94" name="Frame9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495935" cy="175260"/>
                      <wp:effectExtent l="0" t="0" r="0" b="0"/>
                      <wp:wrapNone/>
                      <wp:docPr id="95" name="Frame94"/>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9215" cy="175260"/>
                      <wp:effectExtent l="0" t="0" r="0" b="0"/>
                      <wp:wrapNone/>
                      <wp:docPr id="96" name="Frame9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131" w:type="dxa"/>
            <w:tcBorders/>
            <w:vAlign w:val="center"/>
          </w:tcPr>
          <w:p>
            <w:pPr>
              <w:pStyle w:val="TableContents"/>
              <w:bidi w:val="0"/>
              <w:spacing w:lineRule="auto" w:line="285" w:before="0" w:after="0"/>
              <w:ind w:left="0" w:right="0" w:hanging="0"/>
              <w:jc w:val="left"/>
              <w:rPr/>
            </w:pPr>
            <w:r>
              <w:rPr/>
              <w:t>​</w:t>
            </w:r>
          </w:p>
        </w:tc>
      </w:tr>
      <w:tr>
        <w:trPr/>
        <w:tc>
          <w:tcPr>
            <w:tcW w:w="1951"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751"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781"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2131" w:type="dxa"/>
            <w:tcBorders/>
            <w:vAlign w:val="center"/>
          </w:tcPr>
          <w:p>
            <w:pPr>
              <w:pStyle w:val="TableContents"/>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Remaining shares of</w:t>
            </w:r>
          </w:p>
        </w:tc>
      </w:tr>
      <w:tr>
        <w:trPr/>
        <w:tc>
          <w:tcPr>
            <w:tcW w:w="1951"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751" w:type="dxa"/>
            <w:tcBorders/>
            <w:vAlign w:val="center"/>
          </w:tcPr>
          <w:p>
            <w:pPr>
              <w:pStyle w:val="TableContents"/>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Stock</w:t>
            </w:r>
          </w:p>
        </w:tc>
        <w:tc>
          <w:tcPr>
            <w:tcW w:w="109" w:type="dxa"/>
            <w:tcBorders/>
            <w:vAlign w:val="center"/>
          </w:tcPr>
          <w:p>
            <w:pPr>
              <w:pStyle w:val="TableContents"/>
              <w:bidi w:val="0"/>
              <w:spacing w:lineRule="auto" w:line="285" w:before="0" w:after="0"/>
              <w:ind w:left="0" w:right="0" w:hanging="0"/>
              <w:jc w:val="left"/>
              <w:rPr/>
            </w:pPr>
            <w:r>
              <w:rPr/>
              <w:t>​</w:t>
            </w:r>
          </w:p>
        </w:tc>
        <w:tc>
          <w:tcPr>
            <w:tcW w:w="781"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2131" w:type="dxa"/>
            <w:tcBorders/>
            <w:vAlign w:val="center"/>
          </w:tcPr>
          <w:p>
            <w:pPr>
              <w:pStyle w:val="TableContents"/>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common stock available</w:t>
            </w:r>
          </w:p>
        </w:tc>
      </w:tr>
      <w:tr>
        <w:trPr/>
        <w:tc>
          <w:tcPr>
            <w:tcW w:w="1951"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Plan Name</w:t>
            </w:r>
          </w:p>
        </w:tc>
        <w:tc>
          <w:tcPr>
            <w:tcW w:w="109"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751" w:type="dxa"/>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Options</w:t>
            </w:r>
          </w:p>
        </w:tc>
        <w:tc>
          <w:tcPr>
            <w:tcW w:w="109"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RSUs</w:t>
            </w:r>
          </w:p>
        </w:tc>
        <w:tc>
          <w:tcPr>
            <w:tcW w:w="109"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2131" w:type="dxa"/>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for future issuance</w:t>
            </w:r>
          </w:p>
        </w:tc>
      </w:tr>
      <w:tr>
        <w:trPr/>
        <w:tc>
          <w:tcPr>
            <w:tcW w:w="195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2019 Plan</w:t>
            </w:r>
          </w:p>
        </w:tc>
        <w:tc>
          <w:tcPr>
            <w:tcW w:w="109" w:type="dxa"/>
            <w:tcBorders/>
            <w:shd w:fill="CCEEFF" w:val="clear"/>
            <w:vAlign w:val="center"/>
          </w:tcPr>
          <w:p>
            <w:pPr>
              <w:pStyle w:val="TableContents"/>
              <w:bidi w:val="0"/>
              <w:spacing w:lineRule="auto" w:line="285" w:before="0" w:after="0"/>
              <w:ind w:left="0" w:right="0" w:hanging="0"/>
              <w:jc w:val="right"/>
              <w:rPr/>
            </w:pPr>
            <w:r>
              <w:rPr/>
              <w:t>​</w:t>
            </w:r>
          </w:p>
        </w:tc>
        <w:tc>
          <w:tcPr>
            <w:tcW w:w="75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136</w:t>
            </w:r>
          </w:p>
        </w:tc>
        <w:tc>
          <w:tcPr>
            <w:tcW w:w="109" w:type="dxa"/>
            <w:tcBorders/>
            <w:shd w:fill="CCEEFF" w:val="clear"/>
            <w:vAlign w:val="center"/>
          </w:tcPr>
          <w:p>
            <w:pPr>
              <w:pStyle w:val="TableContents"/>
              <w:bidi w:val="0"/>
              <w:spacing w:lineRule="auto" w:line="285" w:before="0" w:after="0"/>
              <w:ind w:left="0" w:right="0" w:hanging="0"/>
              <w:jc w:val="right"/>
              <w:rPr/>
            </w:pPr>
            <w:r>
              <w:rPr/>
              <w:t>​</w:t>
            </w:r>
          </w:p>
        </w:tc>
        <w:tc>
          <w:tcPr>
            <w:tcW w:w="781" w:type="dxa"/>
            <w:tcBorders/>
            <w:shd w:fill="CCEEFF" w:val="clear"/>
            <w:vAlign w:val="center"/>
          </w:tcPr>
          <w:p>
            <w:pPr>
              <w:pStyle w:val="TableContents"/>
              <w:bidi w:val="0"/>
              <w:spacing w:lineRule="auto" w:line="285" w:before="0" w:after="0"/>
              <w:ind w:left="0" w:right="0" w:hanging="0"/>
              <w:jc w:val="right"/>
              <w:rPr/>
            </w:pPr>
            <w:r>
              <w:rPr/>
              <w:t>—</w:t>
            </w:r>
          </w:p>
        </w:tc>
        <w:tc>
          <w:tcPr>
            <w:tcW w:w="109" w:type="dxa"/>
            <w:tcBorders/>
            <w:shd w:fill="CCEEFF" w:val="clear"/>
            <w:vAlign w:val="center"/>
          </w:tcPr>
          <w:p>
            <w:pPr>
              <w:pStyle w:val="TableContents"/>
              <w:bidi w:val="0"/>
              <w:spacing w:lineRule="auto" w:line="285" w:before="0" w:after="0"/>
              <w:ind w:left="0" w:right="0" w:hanging="0"/>
              <w:jc w:val="right"/>
              <w:rPr/>
            </w:pPr>
            <w:r>
              <w:rPr/>
              <w:t>​</w:t>
            </w:r>
          </w:p>
        </w:tc>
        <w:tc>
          <w:tcPr>
            <w:tcW w:w="2131" w:type="dxa"/>
            <w:tcBorders/>
            <w:shd w:fill="CCEEFF" w:val="clear"/>
            <w:vAlign w:val="center"/>
          </w:tcPr>
          <w:p>
            <w:pPr>
              <w:pStyle w:val="TableContents"/>
              <w:bidi w:val="0"/>
              <w:spacing w:lineRule="auto" w:line="285" w:before="0" w:after="0"/>
              <w:ind w:left="0" w:right="0" w:hanging="0"/>
              <w:jc w:val="right"/>
              <w:rPr/>
            </w:pPr>
            <w:r>
              <w:rPr/>
              <w:t>—</w:t>
            </w:r>
          </w:p>
        </w:tc>
      </w:tr>
      <w:tr>
        <w:trPr/>
        <w:tc>
          <w:tcPr>
            <w:tcW w:w="195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2022 Plan</w:t>
            </w:r>
          </w:p>
        </w:tc>
        <w:tc>
          <w:tcPr>
            <w:tcW w:w="109" w:type="dxa"/>
            <w:tcBorders/>
            <w:vAlign w:val="center"/>
          </w:tcPr>
          <w:p>
            <w:pPr>
              <w:pStyle w:val="TableContents"/>
              <w:bidi w:val="0"/>
              <w:spacing w:lineRule="auto" w:line="285" w:before="0" w:after="0"/>
              <w:ind w:left="0" w:right="0" w:hanging="0"/>
              <w:jc w:val="right"/>
              <w:rPr/>
            </w:pPr>
            <w:r>
              <w:rPr/>
              <w:t>​</w:t>
            </w:r>
          </w:p>
        </w:tc>
        <w:tc>
          <w:tcPr>
            <w:tcW w:w="751"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284</w:t>
            </w:r>
          </w:p>
        </w:tc>
        <w:tc>
          <w:tcPr>
            <w:tcW w:w="109" w:type="dxa"/>
            <w:tcBorders/>
            <w:vAlign w:val="center"/>
          </w:tcPr>
          <w:p>
            <w:pPr>
              <w:pStyle w:val="TableContents"/>
              <w:bidi w:val="0"/>
              <w:spacing w:lineRule="auto" w:line="285" w:before="0" w:after="0"/>
              <w:ind w:left="0" w:right="0" w:hanging="0"/>
              <w:jc w:val="right"/>
              <w:rPr/>
            </w:pPr>
            <w:r>
              <w:rPr/>
              <w:t>​</w:t>
            </w:r>
          </w:p>
        </w:tc>
        <w:tc>
          <w:tcPr>
            <w:tcW w:w="781"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234,055</w:t>
            </w:r>
          </w:p>
        </w:tc>
        <w:tc>
          <w:tcPr>
            <w:tcW w:w="109" w:type="dxa"/>
            <w:tcBorders/>
            <w:vAlign w:val="center"/>
          </w:tcPr>
          <w:p>
            <w:pPr>
              <w:pStyle w:val="TableContents"/>
              <w:bidi w:val="0"/>
              <w:spacing w:lineRule="auto" w:line="285" w:before="0" w:after="0"/>
              <w:ind w:left="0" w:right="0" w:hanging="0"/>
              <w:jc w:val="right"/>
              <w:rPr/>
            </w:pPr>
            <w:r>
              <w:rPr/>
              <w:t>​</w:t>
            </w:r>
          </w:p>
        </w:tc>
        <w:tc>
          <w:tcPr>
            <w:tcW w:w="2131"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247,729</w:t>
            </w:r>
          </w:p>
        </w:tc>
      </w:tr>
      <w:tr>
        <w:trPr/>
        <w:tc>
          <w:tcPr>
            <w:tcW w:w="195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2021 Inducement Plan</w:t>
            </w:r>
          </w:p>
        </w:tc>
        <w:tc>
          <w:tcPr>
            <w:tcW w:w="109"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pPr>
            <w:r>
              <w:rPr/>
              <w:t>​</w:t>
            </w:r>
          </w:p>
        </w:tc>
        <w:tc>
          <w:tcPr>
            <w:tcW w:w="75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pPr>
            <w:r>
              <w:rPr/>
              <w:t>—</w:t>
            </w:r>
          </w:p>
        </w:tc>
        <w:tc>
          <w:tcPr>
            <w:tcW w:w="109"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pPr>
            <w:r>
              <w:rPr/>
              <w:t>​</w:t>
            </w:r>
          </w:p>
        </w:tc>
        <w:tc>
          <w:tcPr>
            <w:tcW w:w="78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pPr>
            <w:r>
              <w:rPr/>
              <w:t>—</w:t>
            </w:r>
          </w:p>
        </w:tc>
        <w:tc>
          <w:tcPr>
            <w:tcW w:w="109"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pPr>
            <w:r>
              <w:rPr/>
              <w:t>​</w:t>
            </w:r>
          </w:p>
        </w:tc>
        <w:tc>
          <w:tcPr>
            <w:tcW w:w="213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378</w:t>
            </w:r>
          </w:p>
        </w:tc>
      </w:tr>
      <w:tr>
        <w:trPr/>
        <w:tc>
          <w:tcPr>
            <w:tcW w:w="1951"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Total</w:t>
            </w:r>
          </w:p>
        </w:tc>
        <w:tc>
          <w:tcPr>
            <w:tcW w:w="109"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pPr>
            <w:r>
              <w:rPr/>
              <w:t>​</w:t>
            </w:r>
          </w:p>
        </w:tc>
        <w:tc>
          <w:tcPr>
            <w:tcW w:w="751"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420</w:t>
            </w:r>
          </w:p>
        </w:tc>
        <w:tc>
          <w:tcPr>
            <w:tcW w:w="109"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pPr>
            <w:r>
              <w:rPr/>
              <w:t>​</w:t>
            </w:r>
          </w:p>
        </w:tc>
        <w:tc>
          <w:tcPr>
            <w:tcW w:w="781"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234,055</w:t>
            </w:r>
          </w:p>
        </w:tc>
        <w:tc>
          <w:tcPr>
            <w:tcW w:w="109"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pPr>
            <w:r>
              <w:rPr/>
              <w:t>​</w:t>
            </w:r>
          </w:p>
        </w:tc>
        <w:tc>
          <w:tcPr>
            <w:tcW w:w="2131" w:type="dxa"/>
            <w:tcBorders>
              <w:bottom w:val="double" w:sz="6" w:space="0" w:color="000000"/>
            </w:tcBorders>
            <w:tcMar>
              <w:bottom w:w="28" w:type="dxa"/>
            </w:tcMar>
            <w:vAlign w:val="center"/>
          </w:tcPr>
          <w:p>
            <w:pPr>
              <w:pStyle w:val="TableContents"/>
              <w:bidi w:val="0"/>
              <w:spacing w:lineRule="auto" w:line="285" w:before="0" w:after="0"/>
              <w:ind w:left="0" w:right="70" w:hanging="0"/>
              <w:jc w:val="right"/>
              <w:rPr>
                <w:rFonts w:ascii="Times New Roman;Times;serif" w:hAnsi="Times New Roman;Times;serif"/>
                <w:sz w:val="20"/>
              </w:rPr>
            </w:pPr>
            <w:r>
              <w:rPr>
                <w:rFonts w:ascii="Times New Roman;Times;serif" w:hAnsi="Times New Roman;Times;serif"/>
                <w:sz w:val="20"/>
              </w:rPr>
              <w:t>248,107</w:t>
            </w:r>
          </w:p>
        </w:tc>
      </w:tr>
    </w:tbl>
    <w:p>
      <w:pPr>
        <w:pStyle w:val="TextBody"/>
        <w:bidi w:val="0"/>
        <w:spacing w:lineRule="auto" w:line="285" w:before="0" w:after="0"/>
        <w:ind w:left="0" w:right="0" w:hanging="0"/>
        <w:jc w:val="left"/>
        <w:rPr/>
      </w:pPr>
      <w:r>
        <w:rPr/>
        <w:t>​</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13</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MetaVia Inc.</w:t>
      </w:r>
    </w:p>
    <w:p>
      <w:pPr>
        <w:pStyle w:val="TextBody"/>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Notes to the Condensed Consolidated Financial Statements</w:t>
      </w:r>
    </w:p>
    <w:p>
      <w:pPr>
        <w:pStyle w:val="TextBody"/>
        <w:bidi w:val="0"/>
        <w:spacing w:lineRule="auto" w:line="285" w:before="0" w:after="0"/>
        <w:ind w:left="0" w:right="0" w:hanging="0"/>
        <w:jc w:val="center"/>
        <w:rPr>
          <w:rFonts w:ascii="Times New Roman;Times;serif" w:hAnsi="Times New Roman;Times;serif"/>
          <w:sz w:val="16"/>
        </w:rPr>
      </w:pPr>
      <w:r>
        <w:rPr>
          <w:rFonts w:ascii="Times New Roman;Times;serif" w:hAnsi="Times New Roman;Times;serif"/>
          <w:sz w:val="16"/>
        </w:rPr>
        <w:t>(Unaudited)</w:t>
      </w:r>
    </w:p>
    <w:p>
      <w:pPr>
        <w:pStyle w:val="TextBody"/>
        <w:bidi w:val="0"/>
        <w:spacing w:lineRule="auto" w:line="285" w:before="0" w:after="0"/>
        <w:ind w:left="0" w:right="0" w:hanging="0"/>
        <w:jc w:val="left"/>
        <w:rPr/>
      </w:pPr>
      <w:r>
        <w:rPr/>
        <w:t>​</w:t>
      </w:r>
    </w:p>
    <w:p>
      <w:pPr>
        <w:pStyle w:val="TextBody"/>
        <w:pBdr/>
        <w:bidi w:val="0"/>
        <w:spacing w:lineRule="auto" w:line="285" w:before="0" w:after="0"/>
        <w:ind w:left="0" w:right="0" w:hanging="0"/>
        <w:jc w:val="both"/>
        <w:rPr>
          <w:rFonts w:ascii="Times New Roman;Times;serif" w:hAnsi="Times New Roman;Times;serif"/>
          <w:i/>
          <w:sz w:val="20"/>
        </w:rPr>
      </w:pPr>
      <w:bookmarkStart w:id="615" w:name="Tc_dzrOnUmS3EisPumY-1T9rQ_5_11"/>
      <w:bookmarkStart w:id="616" w:name="Tc_pWu8isyt60OEXyp-koQmyw_5_8"/>
      <w:bookmarkStart w:id="617" w:name="Tc_PVbI24vkX0Ku5o5p1UOaRA_5_5"/>
      <w:bookmarkStart w:id="618" w:name="Tc_xuaIA_YSnECvbghBIf_EmA_5_2"/>
      <w:bookmarkStart w:id="619" w:name="Tc_McDfmJ3YYEeCMhR7Trir2A_5_0"/>
      <w:bookmarkStart w:id="620" w:name="Tc_iVMQ0YKye0mJbYQEEDcrBQ_4_0"/>
      <w:bookmarkStart w:id="621" w:name="Tc_gfMnsufmSUaI05tS_6HYvA_3_11"/>
      <w:bookmarkStart w:id="622" w:name="Tc_9V4wRsTckkmaCikfYFRGgw_3_8"/>
      <w:bookmarkStart w:id="623" w:name="Tc_kotR4UklfEiTgbg7Ymsm0Q_3_5"/>
      <w:bookmarkStart w:id="624" w:name="Tc_UVx2WOX_dkWychGsqcLlyA_3_2"/>
      <w:bookmarkStart w:id="625" w:name="Tc_Kt04MY1t-k-mY92T_L1D-A_3_0"/>
      <w:bookmarkStart w:id="626" w:name="Tc_PIp308XoREqYt9lrSlDrXQ_2_11"/>
      <w:bookmarkStart w:id="627" w:name="Tc_LLv7e4QoTkSZrV4bZ8f88Q_2_8"/>
      <w:bookmarkStart w:id="628" w:name="Tc_uxDDjlu7BkKiQyZ1EPrKQg_2_5"/>
      <w:bookmarkStart w:id="629" w:name="Tc_KtSCUTa6HEeISANEyPBEQA_2_2"/>
      <w:bookmarkStart w:id="630" w:name="Tc_DLMOPrJWYECRRC2tOR6TEA_1_8"/>
      <w:bookmarkStart w:id="631" w:name="Tc_UjDcvHh0XUanV2oXl7YzNg_1_2"/>
      <w:bookmarkStart w:id="632" w:name="_d6fad339_d66b_449f_9a17_1d1665e4e829"/>
      <w:bookmarkStart w:id="633" w:name="Tc_8b8Xafvu60qAdEh6IVh9yw_9_15"/>
      <w:bookmarkStart w:id="634" w:name="Tc_88ckMe5AYEuyNsUiPYbMQg_9_12"/>
      <w:bookmarkStart w:id="635" w:name="Tc_gnMEKyAhpEuLGTc6syC-1g_9_7"/>
      <w:bookmarkStart w:id="636" w:name="Tc_JVuQo1Gwk0OYMlc6BvSjsQ_9_4"/>
      <w:bookmarkStart w:id="637" w:name="Tc_hWcNvPI2G0qGSxuseLa-Cw_9_0"/>
      <w:bookmarkStart w:id="638" w:name="Tc_sRlUYcywbE2JyyU7w-GlVg_8_0"/>
      <w:bookmarkStart w:id="639" w:name="Tc_eGcuR-xqJk2D9WICeoBAvA_7_0"/>
      <w:bookmarkStart w:id="640" w:name="Tc_gUFtQtDh_0CelQjLAThpVQ_6_15"/>
      <w:bookmarkStart w:id="641" w:name="Tc_SaWPo3sT3U-ptySOe7ZCHA_6_12"/>
      <w:bookmarkStart w:id="642" w:name="Tc_TFVLkrBVAUC6X-n1nGNRfg_6_7"/>
      <w:bookmarkStart w:id="643" w:name="Tc_qEfx4kxnUUingYtYmdFaEA_6_4"/>
      <w:bookmarkStart w:id="644" w:name="Tc_YUNyN1sRa0-c958Ra4ongQ_6_0"/>
      <w:bookmarkStart w:id="645" w:name="Tc_hBJwLMY2b0eMMfY6faGyEA_5_15"/>
      <w:bookmarkStart w:id="646" w:name="Tc_87JcoNAQ7kKCiPuIY6mHBg_5_12"/>
      <w:bookmarkStart w:id="647" w:name="Tc_Mjv8Bz99-UW_DmwZguqNvg_5_10"/>
      <w:bookmarkStart w:id="648" w:name="Tc_cgygwHpskE2R_nL8iim3gA_5_7"/>
      <w:bookmarkStart w:id="649" w:name="Tc_NwfEdIGUAkKhma4ua12Kjw_5_4"/>
      <w:bookmarkStart w:id="650" w:name="Tc_Twt_hpaXIUKr20LoShdw8Q_5_2"/>
      <w:bookmarkStart w:id="651" w:name="Tc_c98d1bdak0m9TgCN1u1VqA_4_15"/>
      <w:bookmarkStart w:id="652" w:name="Tc__G9yh6FRfUOJXKImA2WuvQ_4_12"/>
      <w:bookmarkStart w:id="653" w:name="Tc_uDYmoHccv0uPZBdE2z6cNA_4_10"/>
      <w:bookmarkStart w:id="654" w:name="Tc_y6tTrK6_vkCrWTDkndqQCg_4_7"/>
      <w:bookmarkStart w:id="655" w:name="Tc_q3dEkYV6IU-Px3ma2Wngwg_4_4"/>
      <w:bookmarkStart w:id="656" w:name="Tc_RVYPzRJtFkKsQh3KSSy3NA_4_2"/>
      <w:bookmarkStart w:id="657" w:name="Tc_RV5Hn2SSHUivZVXR_lk4Sw_3_15"/>
      <w:bookmarkStart w:id="658" w:name="Tc_bfhuPTldkE-XqHyPjJQreQ_3_12"/>
      <w:bookmarkStart w:id="659" w:name="Tc_6z-6_4woGkKzwZsjMcQS0g_3_10"/>
      <w:bookmarkStart w:id="660" w:name="Tc_Tlq70b4ku0usi7ia42S2qA_3_7"/>
      <w:bookmarkStart w:id="661" w:name="Tc_EVlabEejgka6PnZung0loA_3_4"/>
      <w:bookmarkStart w:id="662" w:name="Tc_w6vBDdF6akmQnxXW8t4dIA_3_2"/>
      <w:bookmarkStart w:id="663" w:name="Tc_vf0KVX3ZmkKIEcKn956dew_2_12"/>
      <w:bookmarkStart w:id="664" w:name="Tc_2pwzqIeX3Uik37-VCycGyQ_2_10"/>
      <w:bookmarkStart w:id="665" w:name="Tc_Uc_wLR1OykStxcwcXJ4jPg_2_4"/>
      <w:bookmarkStart w:id="666" w:name="Tc_3yBoSWhskEG3h_D1fYk-zg_2_2"/>
      <w:bookmarkStart w:id="667" w:name="Tc_yPw5YAbQPUSPWx_V0pumag_1_10"/>
      <w:bookmarkStart w:id="668" w:name="Tc_12rqCcIGNkC3OvsAy6A2iA_1_2"/>
      <w:bookmarkStart w:id="669" w:name="_d4532a9d_4a2e_4180_81a7_9c58a15f588c"/>
      <w:bookmarkEnd w:id="615"/>
      <w:bookmarkEnd w:id="616"/>
      <w:bookmarkEnd w:id="617"/>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bookmarkEnd w:id="643"/>
      <w:bookmarkEnd w:id="644"/>
      <w:bookmarkEnd w:id="645"/>
      <w:bookmarkEnd w:id="646"/>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r>
        <w:rPr>
          <w:rFonts w:ascii="Times New Roman;Times;serif" w:hAnsi="Times New Roman;Times;serif"/>
          <w:i/>
          <w:sz w:val="20"/>
        </w:rPr>
        <w:t>Restricted Stock Units</w:t>
      </w:r>
    </w:p>
    <w:p>
      <w:pPr>
        <w:pStyle w:val="TextBody"/>
        <w:shd w:fill="FFFFFF" w:val="clear"/>
        <w:bidi w:val="0"/>
        <w:spacing w:lineRule="auto" w:line="285" w:before="0" w:after="0"/>
        <w:ind w:left="0" w:right="0" w:hanging="0"/>
        <w:jc w:val="both"/>
        <w:rPr>
          <w:rFonts w:ascii="Times New Roman;Times;serif" w:hAnsi="Times New Roman;Times;serif"/>
          <w:sz w:val="20"/>
        </w:rPr>
      </w:pPr>
      <w:r>
        <w:rPr>
          <w:rFonts w:ascii="Times New Roman;Times;serif" w:hAnsi="Times New Roman;Times;serif"/>
          <w:sz w:val="20"/>
        </w:rPr>
        <w:t>The following table summarizes the status of our outstanding restricted stock units (“RSUs”) and related transactions for the period presented, as well as our vested and deferred release RSUs as of January 1, 2026 and June 30, 2026 (in thousands, except share and per share amounts):</w:t>
      </w:r>
    </w:p>
    <w:p>
      <w:pPr>
        <w:pStyle w:val="TextBody"/>
        <w:shd w:fill="FFFFFF" w:val="clear"/>
        <w:bidi w:val="0"/>
        <w:spacing w:lineRule="auto" w:line="285" w:before="100" w:after="100"/>
        <w:ind w:left="0" w:right="0" w:hanging="0"/>
        <w:jc w:val="both"/>
        <w:rPr/>
      </w:pPr>
      <w:r>
        <w:rPr/>
        <w:t>​</w:t>
      </w:r>
    </w:p>
    <w:tbl>
      <w:tblPr>
        <w:tblW w:w="9149" w:type="dxa"/>
        <w:jc w:val="left"/>
        <w:tblInd w:w="0" w:type="dxa"/>
        <w:tblLayout w:type="fixed"/>
        <w:tblCellMar>
          <w:top w:w="0" w:type="dxa"/>
          <w:left w:w="0" w:type="dxa"/>
          <w:bottom w:w="0" w:type="dxa"/>
          <w:right w:w="0" w:type="dxa"/>
        </w:tblCellMar>
      </w:tblPr>
      <w:tblGrid>
        <w:gridCol w:w="1876"/>
        <w:gridCol w:w="109"/>
        <w:gridCol w:w="1366"/>
        <w:gridCol w:w="109"/>
        <w:gridCol w:w="263"/>
        <w:gridCol w:w="712"/>
        <w:gridCol w:w="109"/>
        <w:gridCol w:w="315"/>
        <w:gridCol w:w="631"/>
        <w:gridCol w:w="109"/>
        <w:gridCol w:w="1366"/>
        <w:gridCol w:w="109"/>
        <w:gridCol w:w="263"/>
        <w:gridCol w:w="712"/>
        <w:gridCol w:w="109"/>
        <w:gridCol w:w="325"/>
        <w:gridCol w:w="666"/>
      </w:tblGrid>
      <w:tr>
        <w:trPr/>
        <w:tc>
          <w:tcPr>
            <w:tcW w:w="18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1191260" cy="175260"/>
                      <wp:effectExtent l="0" t="0" r="0" b="0"/>
                      <wp:wrapNone/>
                      <wp:docPr id="97" name="Frame96"/>
                      <a:graphic xmlns:a="http://schemas.openxmlformats.org/drawingml/2006/main">
                        <a:graphicData uri="http://schemas.microsoft.com/office/word/2010/wordprocessingShape">
                          <wps:wsp>
                            <wps:cNvSpPr txBox="1"/>
                            <wps:spPr>
                              <a:xfrm>
                                <a:off x="0" y="0"/>
                                <a:ext cx="119126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9215" cy="175260"/>
                      <wp:effectExtent l="0" t="0" r="0" b="0"/>
                      <wp:wrapNone/>
                      <wp:docPr id="98" name="Frame9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3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867410" cy="175260"/>
                      <wp:effectExtent l="0" t="0" r="0" b="0"/>
                      <wp:wrapNone/>
                      <wp:docPr id="99" name="Frame98"/>
                      <a:graphic xmlns:a="http://schemas.openxmlformats.org/drawingml/2006/main">
                        <a:graphicData uri="http://schemas.microsoft.com/office/word/2010/wordprocessingShape">
                          <wps:wsp>
                            <wps:cNvSpPr txBox="1"/>
                            <wps:spPr>
                              <a:xfrm>
                                <a:off x="0" y="0"/>
                                <a:ext cx="8674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9215" cy="175260"/>
                      <wp:effectExtent l="0" t="0" r="0" b="0"/>
                      <wp:wrapNone/>
                      <wp:docPr id="100" name="Frame99"/>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6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167005" cy="175260"/>
                      <wp:effectExtent l="0" t="0" r="0" b="0"/>
                      <wp:wrapNone/>
                      <wp:docPr id="101" name="Frame100"/>
                      <a:graphic xmlns:a="http://schemas.openxmlformats.org/drawingml/2006/main">
                        <a:graphicData uri="http://schemas.microsoft.com/office/word/2010/wordprocessingShape">
                          <wps:wsp>
                            <wps:cNvSpPr txBox="1"/>
                            <wps:spPr>
                              <a:xfrm>
                                <a:off x="0" y="0"/>
                                <a:ext cx="16700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71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452120" cy="175260"/>
                      <wp:effectExtent l="0" t="0" r="0" b="0"/>
                      <wp:wrapNone/>
                      <wp:docPr id="102" name="Frame101"/>
                      <a:graphic xmlns:a="http://schemas.openxmlformats.org/drawingml/2006/main">
                        <a:graphicData uri="http://schemas.microsoft.com/office/word/2010/wordprocessingShape">
                          <wps:wsp>
                            <wps:cNvSpPr txBox="1"/>
                            <wps:spPr>
                              <a:xfrm>
                                <a:off x="0" y="0"/>
                                <a:ext cx="45212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69215" cy="175260"/>
                      <wp:effectExtent l="0" t="0" r="0" b="0"/>
                      <wp:wrapNone/>
                      <wp:docPr id="103" name="Frame10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1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200025" cy="175260"/>
                      <wp:effectExtent l="0" t="0" r="0" b="0"/>
                      <wp:wrapNone/>
                      <wp:docPr id="104" name="Frame103"/>
                      <a:graphic xmlns:a="http://schemas.openxmlformats.org/drawingml/2006/main">
                        <a:graphicData uri="http://schemas.microsoft.com/office/word/2010/wordprocessingShape">
                          <wps:wsp>
                            <wps:cNvSpPr txBox="1"/>
                            <wps:spPr>
                              <a:xfrm>
                                <a:off x="0" y="0"/>
                                <a:ext cx="20002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6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400685" cy="175260"/>
                      <wp:effectExtent l="0" t="0" r="0" b="0"/>
                      <wp:wrapNone/>
                      <wp:docPr id="105" name="Frame104"/>
                      <a:graphic xmlns:a="http://schemas.openxmlformats.org/drawingml/2006/main">
                        <a:graphicData uri="http://schemas.microsoft.com/office/word/2010/wordprocessingShape">
                          <wps:wsp>
                            <wps:cNvSpPr txBox="1"/>
                            <wps:spPr>
                              <a:xfrm>
                                <a:off x="0" y="0"/>
                                <a:ext cx="4006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69215" cy="175260"/>
                      <wp:effectExtent l="0" t="0" r="0" b="0"/>
                      <wp:wrapNone/>
                      <wp:docPr id="106" name="Frame10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3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867410" cy="175260"/>
                      <wp:effectExtent l="0" t="0" r="0" b="0"/>
                      <wp:wrapNone/>
                      <wp:docPr id="107" name="Frame106"/>
                      <a:graphic xmlns:a="http://schemas.openxmlformats.org/drawingml/2006/main">
                        <a:graphicData uri="http://schemas.microsoft.com/office/word/2010/wordprocessingShape">
                          <wps:wsp>
                            <wps:cNvSpPr txBox="1"/>
                            <wps:spPr>
                              <a:xfrm>
                                <a:off x="0" y="0"/>
                                <a:ext cx="8674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69215" cy="175260"/>
                      <wp:effectExtent l="0" t="0" r="0" b="0"/>
                      <wp:wrapNone/>
                      <wp:docPr id="108" name="Frame10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6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167005" cy="175260"/>
                      <wp:effectExtent l="0" t="0" r="0" b="0"/>
                      <wp:wrapNone/>
                      <wp:docPr id="109" name="Frame108"/>
                      <a:graphic xmlns:a="http://schemas.openxmlformats.org/drawingml/2006/main">
                        <a:graphicData uri="http://schemas.microsoft.com/office/word/2010/wordprocessingShape">
                          <wps:wsp>
                            <wps:cNvSpPr txBox="1"/>
                            <wps:spPr>
                              <a:xfrm>
                                <a:off x="0" y="0"/>
                                <a:ext cx="16700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71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452120" cy="175260"/>
                      <wp:effectExtent l="0" t="0" r="0" b="0"/>
                      <wp:wrapNone/>
                      <wp:docPr id="110" name="Frame109"/>
                      <a:graphic xmlns:a="http://schemas.openxmlformats.org/drawingml/2006/main">
                        <a:graphicData uri="http://schemas.microsoft.com/office/word/2010/wordprocessingShape">
                          <wps:wsp>
                            <wps:cNvSpPr txBox="1"/>
                            <wps:spPr>
                              <a:xfrm>
                                <a:off x="0" y="0"/>
                                <a:ext cx="45212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69215" cy="175260"/>
                      <wp:effectExtent l="0" t="0" r="0" b="0"/>
                      <wp:wrapNone/>
                      <wp:docPr id="111" name="Frame11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2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206375" cy="175260"/>
                      <wp:effectExtent l="0" t="0" r="0" b="0"/>
                      <wp:wrapNone/>
                      <wp:docPr id="112" name="Frame111"/>
                      <a:graphic xmlns:a="http://schemas.openxmlformats.org/drawingml/2006/main">
                        <a:graphicData uri="http://schemas.microsoft.com/office/word/2010/wordprocessingShape">
                          <wps:wsp>
                            <wps:cNvSpPr txBox="1"/>
                            <wps:spPr>
                              <a:xfrm>
                                <a:off x="0" y="0"/>
                                <a:ext cx="20637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6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422910" cy="175260"/>
                      <wp:effectExtent l="0" t="0" r="0" b="0"/>
                      <wp:wrapNone/>
                      <wp:docPr id="113" name="Frame112"/>
                      <a:graphic xmlns:a="http://schemas.openxmlformats.org/drawingml/2006/main">
                        <a:graphicData uri="http://schemas.microsoft.com/office/word/2010/wordprocessingShape">
                          <wps:wsp>
                            <wps:cNvSpPr txBox="1"/>
                            <wps:spPr>
                              <a:xfrm>
                                <a:off x="0" y="0"/>
                                <a:ext cx="4229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r>
      <w:tr>
        <w:trPr/>
        <w:tc>
          <w:tcPr>
            <w:tcW w:w="1876"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3505" w:type="dxa"/>
            <w:gridSpan w:val="7"/>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Outstanding</w:t>
            </w:r>
          </w:p>
        </w:tc>
        <w:tc>
          <w:tcPr>
            <w:tcW w:w="109" w:type="dxa"/>
            <w:tcBorders>
              <w:bottom w:val="single" w:sz="2" w:space="0" w:color="000000"/>
            </w:tcBorders>
            <w:tcMar>
              <w:bottom w:w="28" w:type="dxa"/>
            </w:tcMar>
            <w:vAlign w:val="center"/>
          </w:tcPr>
          <w:p>
            <w:pPr>
              <w:pStyle w:val="TableContents"/>
              <w:bidi w:val="0"/>
              <w:spacing w:lineRule="auto" w:line="285" w:before="0" w:after="0"/>
              <w:ind w:left="0" w:right="0" w:hanging="0"/>
              <w:jc w:val="center"/>
              <w:rPr/>
            </w:pPr>
            <w:r>
              <w:rPr/>
              <w:t>​</w:t>
            </w:r>
          </w:p>
        </w:tc>
        <w:tc>
          <w:tcPr>
            <w:tcW w:w="3550" w:type="dxa"/>
            <w:gridSpan w:val="7"/>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Vested and Deferred Release</w:t>
            </w:r>
          </w:p>
        </w:tc>
      </w:tr>
      <w:tr>
        <w:trPr/>
        <w:tc>
          <w:tcPr>
            <w:tcW w:w="1876"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1366" w:type="dxa"/>
            <w:tcBorders/>
            <w:vAlign w:val="center"/>
          </w:tcPr>
          <w:p>
            <w:pPr>
              <w:pStyle w:val="TableContents"/>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Shares of</w:t>
            </w:r>
          </w:p>
        </w:tc>
        <w:tc>
          <w:tcPr>
            <w:tcW w:w="109" w:type="dxa"/>
            <w:tcBorders/>
            <w:vAlign w:val="center"/>
          </w:tcPr>
          <w:p>
            <w:pPr>
              <w:pStyle w:val="TableContents"/>
              <w:bidi w:val="0"/>
              <w:spacing w:lineRule="auto" w:line="285" w:before="0" w:after="0"/>
              <w:ind w:left="0" w:right="0" w:hanging="0"/>
              <w:jc w:val="center"/>
              <w:rPr/>
            </w:pPr>
            <w:r>
              <w:rPr/>
              <w:t>​</w:t>
            </w:r>
          </w:p>
        </w:tc>
        <w:tc>
          <w:tcPr>
            <w:tcW w:w="975" w:type="dxa"/>
            <w:gridSpan w:val="2"/>
            <w:tcBorders/>
            <w:vAlign w:val="center"/>
          </w:tcPr>
          <w:p>
            <w:pPr>
              <w:pStyle w:val="TableContents"/>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Average</w:t>
            </w:r>
          </w:p>
        </w:tc>
        <w:tc>
          <w:tcPr>
            <w:tcW w:w="109" w:type="dxa"/>
            <w:tcBorders/>
            <w:vAlign w:val="center"/>
          </w:tcPr>
          <w:p>
            <w:pPr>
              <w:pStyle w:val="TableContents"/>
              <w:bidi w:val="0"/>
              <w:spacing w:lineRule="auto" w:line="285" w:before="0" w:after="0"/>
              <w:ind w:left="0" w:right="0" w:hanging="0"/>
              <w:jc w:val="center"/>
              <w:rPr/>
            </w:pPr>
            <w:r>
              <w:rPr/>
              <w:t>​</w:t>
            </w:r>
          </w:p>
        </w:tc>
        <w:tc>
          <w:tcPr>
            <w:tcW w:w="946" w:type="dxa"/>
            <w:gridSpan w:val="2"/>
            <w:tcBorders/>
            <w:vAlign w:val="center"/>
          </w:tcPr>
          <w:p>
            <w:pPr>
              <w:pStyle w:val="TableContents"/>
              <w:bidi w:val="0"/>
              <w:spacing w:lineRule="auto" w:line="285" w:before="0" w:after="0"/>
              <w:ind w:left="0" w:right="0" w:hanging="0"/>
              <w:jc w:val="center"/>
              <w:rPr/>
            </w:pPr>
            <w:r>
              <w:rPr/>
              <w:t>​</w:t>
            </w:r>
          </w:p>
        </w:tc>
        <w:tc>
          <w:tcPr>
            <w:tcW w:w="109" w:type="dxa"/>
            <w:tcBorders/>
            <w:vAlign w:val="center"/>
          </w:tcPr>
          <w:p>
            <w:pPr>
              <w:pStyle w:val="TableContents"/>
              <w:bidi w:val="0"/>
              <w:spacing w:lineRule="auto" w:line="285" w:before="0" w:after="0"/>
              <w:ind w:left="0" w:right="0" w:hanging="0"/>
              <w:jc w:val="center"/>
              <w:rPr/>
            </w:pPr>
            <w:r>
              <w:rPr/>
              <w:t>​</w:t>
            </w:r>
          </w:p>
        </w:tc>
        <w:tc>
          <w:tcPr>
            <w:tcW w:w="1366" w:type="dxa"/>
            <w:tcBorders/>
            <w:vAlign w:val="center"/>
          </w:tcPr>
          <w:p>
            <w:pPr>
              <w:pStyle w:val="TableContents"/>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Shares of</w:t>
            </w:r>
          </w:p>
        </w:tc>
        <w:tc>
          <w:tcPr>
            <w:tcW w:w="109" w:type="dxa"/>
            <w:tcBorders/>
            <w:vAlign w:val="center"/>
          </w:tcPr>
          <w:p>
            <w:pPr>
              <w:pStyle w:val="TableContents"/>
              <w:bidi w:val="0"/>
              <w:spacing w:lineRule="auto" w:line="285" w:before="0" w:after="0"/>
              <w:ind w:left="0" w:right="0" w:hanging="0"/>
              <w:jc w:val="center"/>
              <w:rPr/>
            </w:pPr>
            <w:r>
              <w:rPr/>
              <w:t>​</w:t>
            </w:r>
          </w:p>
        </w:tc>
        <w:tc>
          <w:tcPr>
            <w:tcW w:w="975" w:type="dxa"/>
            <w:gridSpan w:val="2"/>
            <w:tcBorders/>
            <w:vAlign w:val="center"/>
          </w:tcPr>
          <w:p>
            <w:pPr>
              <w:pStyle w:val="TableContents"/>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Average</w:t>
            </w:r>
          </w:p>
        </w:tc>
        <w:tc>
          <w:tcPr>
            <w:tcW w:w="109" w:type="dxa"/>
            <w:tcBorders/>
            <w:vAlign w:val="center"/>
          </w:tcPr>
          <w:p>
            <w:pPr>
              <w:pStyle w:val="TableContents"/>
              <w:bidi w:val="0"/>
              <w:spacing w:lineRule="auto" w:line="285" w:before="0" w:after="0"/>
              <w:ind w:left="0" w:right="0" w:hanging="0"/>
              <w:jc w:val="center"/>
              <w:rPr/>
            </w:pPr>
            <w:r>
              <w:rPr/>
              <w:t>​</w:t>
            </w:r>
          </w:p>
        </w:tc>
        <w:tc>
          <w:tcPr>
            <w:tcW w:w="991" w:type="dxa"/>
            <w:gridSpan w:val="2"/>
            <w:tcBorders/>
            <w:vAlign w:val="center"/>
          </w:tcPr>
          <w:p>
            <w:pPr>
              <w:pStyle w:val="TableContents"/>
              <w:bidi w:val="0"/>
              <w:spacing w:lineRule="auto" w:line="285" w:before="0" w:after="0"/>
              <w:ind w:left="0" w:right="0" w:hanging="0"/>
              <w:jc w:val="center"/>
              <w:rPr/>
            </w:pPr>
            <w:r>
              <w:rPr/>
              <w:t>​</w:t>
            </w:r>
          </w:p>
        </w:tc>
      </w:tr>
      <w:tr>
        <w:trPr/>
        <w:tc>
          <w:tcPr>
            <w:tcW w:w="1876"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1366" w:type="dxa"/>
            <w:tcBorders/>
            <w:vAlign w:val="center"/>
          </w:tcPr>
          <w:p>
            <w:pPr>
              <w:pStyle w:val="TableContents"/>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Common Stock</w:t>
            </w:r>
          </w:p>
        </w:tc>
        <w:tc>
          <w:tcPr>
            <w:tcW w:w="109" w:type="dxa"/>
            <w:tcBorders/>
            <w:vAlign w:val="center"/>
          </w:tcPr>
          <w:p>
            <w:pPr>
              <w:pStyle w:val="TableContents"/>
              <w:bidi w:val="0"/>
              <w:spacing w:lineRule="auto" w:line="285" w:before="0" w:after="0"/>
              <w:ind w:left="0" w:right="0" w:hanging="0"/>
              <w:jc w:val="center"/>
              <w:rPr/>
            </w:pPr>
            <w:r>
              <w:rPr/>
              <w:t>​</w:t>
            </w:r>
          </w:p>
        </w:tc>
        <w:tc>
          <w:tcPr>
            <w:tcW w:w="975" w:type="dxa"/>
            <w:gridSpan w:val="2"/>
            <w:tcBorders/>
            <w:vAlign w:val="center"/>
          </w:tcPr>
          <w:p>
            <w:pPr>
              <w:pStyle w:val="TableContents"/>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Grant Date</w:t>
            </w:r>
          </w:p>
        </w:tc>
        <w:tc>
          <w:tcPr>
            <w:tcW w:w="109" w:type="dxa"/>
            <w:tcBorders/>
            <w:vAlign w:val="center"/>
          </w:tcPr>
          <w:p>
            <w:pPr>
              <w:pStyle w:val="TableContents"/>
              <w:bidi w:val="0"/>
              <w:spacing w:lineRule="auto" w:line="285" w:before="0" w:after="0"/>
              <w:ind w:left="0" w:right="0" w:hanging="0"/>
              <w:jc w:val="center"/>
              <w:rPr/>
            </w:pPr>
            <w:r>
              <w:rPr/>
              <w:t>​</w:t>
            </w:r>
          </w:p>
        </w:tc>
        <w:tc>
          <w:tcPr>
            <w:tcW w:w="946" w:type="dxa"/>
            <w:gridSpan w:val="2"/>
            <w:tcBorders/>
            <w:vAlign w:val="center"/>
          </w:tcPr>
          <w:p>
            <w:pPr>
              <w:pStyle w:val="TableContents"/>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Aggregate</w:t>
            </w:r>
          </w:p>
        </w:tc>
        <w:tc>
          <w:tcPr>
            <w:tcW w:w="109" w:type="dxa"/>
            <w:tcBorders/>
            <w:vAlign w:val="center"/>
          </w:tcPr>
          <w:p>
            <w:pPr>
              <w:pStyle w:val="TableContents"/>
              <w:bidi w:val="0"/>
              <w:spacing w:lineRule="auto" w:line="285" w:before="0" w:after="0"/>
              <w:ind w:left="0" w:right="0" w:hanging="0"/>
              <w:jc w:val="center"/>
              <w:rPr/>
            </w:pPr>
            <w:r>
              <w:rPr/>
              <w:t>​</w:t>
            </w:r>
          </w:p>
        </w:tc>
        <w:tc>
          <w:tcPr>
            <w:tcW w:w="1366" w:type="dxa"/>
            <w:tcBorders/>
            <w:vAlign w:val="center"/>
          </w:tcPr>
          <w:p>
            <w:pPr>
              <w:pStyle w:val="TableContents"/>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Common Stock</w:t>
            </w:r>
          </w:p>
        </w:tc>
        <w:tc>
          <w:tcPr>
            <w:tcW w:w="109" w:type="dxa"/>
            <w:tcBorders/>
            <w:vAlign w:val="center"/>
          </w:tcPr>
          <w:p>
            <w:pPr>
              <w:pStyle w:val="TableContents"/>
              <w:bidi w:val="0"/>
              <w:spacing w:lineRule="auto" w:line="285" w:before="0" w:after="0"/>
              <w:ind w:left="0" w:right="0" w:hanging="0"/>
              <w:jc w:val="center"/>
              <w:rPr/>
            </w:pPr>
            <w:r>
              <w:rPr/>
              <w:t>​</w:t>
            </w:r>
          </w:p>
        </w:tc>
        <w:tc>
          <w:tcPr>
            <w:tcW w:w="975" w:type="dxa"/>
            <w:gridSpan w:val="2"/>
            <w:tcBorders/>
            <w:vAlign w:val="center"/>
          </w:tcPr>
          <w:p>
            <w:pPr>
              <w:pStyle w:val="TableContents"/>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Grant Date</w:t>
            </w:r>
          </w:p>
        </w:tc>
        <w:tc>
          <w:tcPr>
            <w:tcW w:w="109" w:type="dxa"/>
            <w:tcBorders/>
            <w:vAlign w:val="center"/>
          </w:tcPr>
          <w:p>
            <w:pPr>
              <w:pStyle w:val="TableContents"/>
              <w:bidi w:val="0"/>
              <w:spacing w:lineRule="auto" w:line="285" w:before="0" w:after="0"/>
              <w:ind w:left="0" w:right="0" w:hanging="0"/>
              <w:jc w:val="center"/>
              <w:rPr/>
            </w:pPr>
            <w:r>
              <w:rPr/>
              <w:t>​</w:t>
            </w:r>
          </w:p>
        </w:tc>
        <w:tc>
          <w:tcPr>
            <w:tcW w:w="991" w:type="dxa"/>
            <w:gridSpan w:val="2"/>
            <w:tcBorders/>
            <w:vAlign w:val="center"/>
          </w:tcPr>
          <w:p>
            <w:pPr>
              <w:pStyle w:val="TableContents"/>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Aggregate</w:t>
            </w:r>
          </w:p>
        </w:tc>
      </w:tr>
      <w:tr>
        <w:trPr/>
        <w:tc>
          <w:tcPr>
            <w:tcW w:w="1876"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1366" w:type="dxa"/>
            <w:tcBorders/>
            <w:vAlign w:val="center"/>
          </w:tcPr>
          <w:p>
            <w:pPr>
              <w:pStyle w:val="TableContents"/>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Issuable</w:t>
            </w:r>
          </w:p>
        </w:tc>
        <w:tc>
          <w:tcPr>
            <w:tcW w:w="109" w:type="dxa"/>
            <w:tcBorders/>
            <w:vAlign w:val="center"/>
          </w:tcPr>
          <w:p>
            <w:pPr>
              <w:pStyle w:val="TableContents"/>
              <w:bidi w:val="0"/>
              <w:spacing w:lineRule="auto" w:line="285" w:before="0" w:after="0"/>
              <w:ind w:left="0" w:right="0" w:hanging="0"/>
              <w:jc w:val="center"/>
              <w:rPr/>
            </w:pPr>
            <w:r>
              <w:rPr/>
              <w:t>​</w:t>
            </w:r>
          </w:p>
        </w:tc>
        <w:tc>
          <w:tcPr>
            <w:tcW w:w="975" w:type="dxa"/>
            <w:gridSpan w:val="2"/>
            <w:tcBorders/>
            <w:vAlign w:val="center"/>
          </w:tcPr>
          <w:p>
            <w:pPr>
              <w:pStyle w:val="TableContents"/>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Fair Value</w:t>
            </w:r>
          </w:p>
        </w:tc>
        <w:tc>
          <w:tcPr>
            <w:tcW w:w="109" w:type="dxa"/>
            <w:tcBorders/>
            <w:vAlign w:val="center"/>
          </w:tcPr>
          <w:p>
            <w:pPr>
              <w:pStyle w:val="TableContents"/>
              <w:bidi w:val="0"/>
              <w:spacing w:lineRule="auto" w:line="285" w:before="0" w:after="0"/>
              <w:ind w:left="0" w:right="0" w:hanging="0"/>
              <w:jc w:val="center"/>
              <w:rPr/>
            </w:pPr>
            <w:r>
              <w:rPr/>
              <w:t>​</w:t>
            </w:r>
          </w:p>
        </w:tc>
        <w:tc>
          <w:tcPr>
            <w:tcW w:w="946" w:type="dxa"/>
            <w:gridSpan w:val="2"/>
            <w:tcBorders/>
            <w:vAlign w:val="center"/>
          </w:tcPr>
          <w:p>
            <w:pPr>
              <w:pStyle w:val="TableContents"/>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Fair</w:t>
            </w:r>
          </w:p>
        </w:tc>
        <w:tc>
          <w:tcPr>
            <w:tcW w:w="109" w:type="dxa"/>
            <w:tcBorders/>
            <w:vAlign w:val="center"/>
          </w:tcPr>
          <w:p>
            <w:pPr>
              <w:pStyle w:val="TableContents"/>
              <w:bidi w:val="0"/>
              <w:spacing w:lineRule="auto" w:line="285" w:before="0" w:after="0"/>
              <w:ind w:left="0" w:right="0" w:hanging="0"/>
              <w:jc w:val="center"/>
              <w:rPr/>
            </w:pPr>
            <w:r>
              <w:rPr/>
              <w:t>​</w:t>
            </w:r>
          </w:p>
        </w:tc>
        <w:tc>
          <w:tcPr>
            <w:tcW w:w="1366" w:type="dxa"/>
            <w:tcBorders/>
            <w:vAlign w:val="center"/>
          </w:tcPr>
          <w:p>
            <w:pPr>
              <w:pStyle w:val="TableContents"/>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Issuable</w:t>
            </w:r>
          </w:p>
        </w:tc>
        <w:tc>
          <w:tcPr>
            <w:tcW w:w="109" w:type="dxa"/>
            <w:tcBorders/>
            <w:vAlign w:val="center"/>
          </w:tcPr>
          <w:p>
            <w:pPr>
              <w:pStyle w:val="TableContents"/>
              <w:bidi w:val="0"/>
              <w:spacing w:lineRule="auto" w:line="285" w:before="0" w:after="0"/>
              <w:ind w:left="0" w:right="0" w:hanging="0"/>
              <w:jc w:val="center"/>
              <w:rPr/>
            </w:pPr>
            <w:r>
              <w:rPr/>
              <w:t>​</w:t>
            </w:r>
          </w:p>
        </w:tc>
        <w:tc>
          <w:tcPr>
            <w:tcW w:w="975" w:type="dxa"/>
            <w:gridSpan w:val="2"/>
            <w:tcBorders/>
            <w:vAlign w:val="center"/>
          </w:tcPr>
          <w:p>
            <w:pPr>
              <w:pStyle w:val="TableContents"/>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Fair Value</w:t>
            </w:r>
          </w:p>
        </w:tc>
        <w:tc>
          <w:tcPr>
            <w:tcW w:w="109" w:type="dxa"/>
            <w:tcBorders/>
            <w:vAlign w:val="center"/>
          </w:tcPr>
          <w:p>
            <w:pPr>
              <w:pStyle w:val="TableContents"/>
              <w:bidi w:val="0"/>
              <w:spacing w:lineRule="auto" w:line="285" w:before="0" w:after="0"/>
              <w:ind w:left="0" w:right="0" w:hanging="0"/>
              <w:jc w:val="center"/>
              <w:rPr/>
            </w:pPr>
            <w:r>
              <w:rPr/>
              <w:t>​</w:t>
            </w:r>
          </w:p>
        </w:tc>
        <w:tc>
          <w:tcPr>
            <w:tcW w:w="991" w:type="dxa"/>
            <w:gridSpan w:val="2"/>
            <w:tcBorders/>
            <w:vAlign w:val="center"/>
          </w:tcPr>
          <w:p>
            <w:pPr>
              <w:pStyle w:val="TableContents"/>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Intrinsic</w:t>
            </w:r>
          </w:p>
        </w:tc>
      </w:tr>
      <w:tr>
        <w:trPr/>
        <w:tc>
          <w:tcPr>
            <w:tcW w:w="1876"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109"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1366" w:type="dxa"/>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for RSUs</w:t>
            </w:r>
          </w:p>
        </w:tc>
        <w:tc>
          <w:tcPr>
            <w:tcW w:w="109" w:type="dxa"/>
            <w:tcBorders>
              <w:bottom w:val="single" w:sz="2" w:space="0" w:color="000000"/>
            </w:tcBorders>
            <w:tcMar>
              <w:bottom w:w="28" w:type="dxa"/>
            </w:tcMar>
            <w:vAlign w:val="center"/>
          </w:tcPr>
          <w:p>
            <w:pPr>
              <w:pStyle w:val="TableContents"/>
              <w:bidi w:val="0"/>
              <w:spacing w:lineRule="auto" w:line="285" w:before="0" w:after="0"/>
              <w:ind w:left="0" w:right="0" w:hanging="0"/>
              <w:jc w:val="center"/>
              <w:rPr/>
            </w:pPr>
            <w:r>
              <w:rPr/>
              <w:t>​</w:t>
            </w:r>
          </w:p>
        </w:tc>
        <w:tc>
          <w:tcPr>
            <w:tcW w:w="975"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Price</w:t>
            </w:r>
          </w:p>
        </w:tc>
        <w:tc>
          <w:tcPr>
            <w:tcW w:w="109" w:type="dxa"/>
            <w:tcBorders>
              <w:bottom w:val="single" w:sz="2" w:space="0" w:color="000000"/>
            </w:tcBorders>
            <w:tcMar>
              <w:bottom w:w="28" w:type="dxa"/>
            </w:tcMar>
            <w:vAlign w:val="center"/>
          </w:tcPr>
          <w:p>
            <w:pPr>
              <w:pStyle w:val="TableContents"/>
              <w:bidi w:val="0"/>
              <w:spacing w:lineRule="auto" w:line="285" w:before="0" w:after="0"/>
              <w:ind w:left="0" w:right="0" w:hanging="0"/>
              <w:jc w:val="center"/>
              <w:rPr/>
            </w:pPr>
            <w:r>
              <w:rPr/>
              <w:t>​</w:t>
            </w:r>
          </w:p>
        </w:tc>
        <w:tc>
          <w:tcPr>
            <w:tcW w:w="946"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Value</w:t>
            </w:r>
          </w:p>
        </w:tc>
        <w:tc>
          <w:tcPr>
            <w:tcW w:w="109" w:type="dxa"/>
            <w:tcBorders>
              <w:bottom w:val="single" w:sz="2" w:space="0" w:color="000000"/>
            </w:tcBorders>
            <w:tcMar>
              <w:bottom w:w="28" w:type="dxa"/>
            </w:tcMar>
            <w:vAlign w:val="center"/>
          </w:tcPr>
          <w:p>
            <w:pPr>
              <w:pStyle w:val="TableContents"/>
              <w:bidi w:val="0"/>
              <w:spacing w:lineRule="auto" w:line="285" w:before="0" w:after="0"/>
              <w:ind w:left="0" w:right="0" w:hanging="0"/>
              <w:jc w:val="center"/>
              <w:rPr/>
            </w:pPr>
            <w:r>
              <w:rPr/>
              <w:t>​</w:t>
            </w:r>
          </w:p>
        </w:tc>
        <w:tc>
          <w:tcPr>
            <w:tcW w:w="1366" w:type="dxa"/>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for RSUs</w:t>
            </w:r>
          </w:p>
        </w:tc>
        <w:tc>
          <w:tcPr>
            <w:tcW w:w="109" w:type="dxa"/>
            <w:tcBorders>
              <w:bottom w:val="single" w:sz="2" w:space="0" w:color="000000"/>
            </w:tcBorders>
            <w:tcMar>
              <w:bottom w:w="28" w:type="dxa"/>
            </w:tcMar>
            <w:vAlign w:val="center"/>
          </w:tcPr>
          <w:p>
            <w:pPr>
              <w:pStyle w:val="TableContents"/>
              <w:bidi w:val="0"/>
              <w:spacing w:lineRule="auto" w:line="285" w:before="0" w:after="0"/>
              <w:ind w:left="0" w:right="0" w:hanging="0"/>
              <w:jc w:val="center"/>
              <w:rPr/>
            </w:pPr>
            <w:r>
              <w:rPr/>
              <w:t>​</w:t>
            </w:r>
          </w:p>
        </w:tc>
        <w:tc>
          <w:tcPr>
            <w:tcW w:w="975"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Price</w:t>
            </w:r>
          </w:p>
        </w:tc>
        <w:tc>
          <w:tcPr>
            <w:tcW w:w="109" w:type="dxa"/>
            <w:tcBorders>
              <w:bottom w:val="single" w:sz="2" w:space="0" w:color="000000"/>
            </w:tcBorders>
            <w:tcMar>
              <w:bottom w:w="28" w:type="dxa"/>
            </w:tcMar>
            <w:vAlign w:val="center"/>
          </w:tcPr>
          <w:p>
            <w:pPr>
              <w:pStyle w:val="TableContents"/>
              <w:bidi w:val="0"/>
              <w:spacing w:lineRule="auto" w:line="285" w:before="0" w:after="0"/>
              <w:ind w:left="0" w:right="0" w:hanging="0"/>
              <w:jc w:val="center"/>
              <w:rPr/>
            </w:pPr>
            <w:r>
              <w:rPr/>
              <w:t>​</w:t>
            </w:r>
          </w:p>
        </w:tc>
        <w:tc>
          <w:tcPr>
            <w:tcW w:w="991"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Value</w:t>
            </w:r>
          </w:p>
        </w:tc>
      </w:tr>
      <w:tr>
        <w:trPr/>
        <w:tc>
          <w:tcPr>
            <w:tcW w:w="187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As of January 1, 2026</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1366"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29,295</w:t>
            </w:r>
          </w:p>
        </w:tc>
        <w:tc>
          <w:tcPr>
            <w:tcW w:w="109" w:type="dxa"/>
            <w:tcBorders/>
            <w:shd w:fill="CCEEFF" w:val="clear"/>
            <w:vAlign w:val="center"/>
          </w:tcPr>
          <w:p>
            <w:pPr>
              <w:pStyle w:val="TableContents"/>
              <w:bidi w:val="0"/>
              <w:spacing w:lineRule="auto" w:line="285" w:before="0" w:after="0"/>
              <w:ind w:left="0" w:right="0" w:hanging="0"/>
              <w:jc w:val="right"/>
              <w:rPr/>
            </w:pPr>
            <w:r>
              <w:rPr/>
              <w:t>​</w:t>
            </w:r>
          </w:p>
        </w:tc>
        <w:tc>
          <w:tcPr>
            <w:tcW w:w="263"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12"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18.86</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315"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3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247</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1366"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3,082</w:t>
            </w:r>
          </w:p>
        </w:tc>
        <w:tc>
          <w:tcPr>
            <w:tcW w:w="109" w:type="dxa"/>
            <w:tcBorders/>
            <w:shd w:fill="CCEEFF" w:val="clear"/>
            <w:vAlign w:val="center"/>
          </w:tcPr>
          <w:p>
            <w:pPr>
              <w:pStyle w:val="TableContents"/>
              <w:bidi w:val="0"/>
              <w:spacing w:lineRule="auto" w:line="285" w:before="0" w:after="0"/>
              <w:ind w:left="0" w:right="0" w:hanging="0"/>
              <w:jc w:val="right"/>
              <w:rPr/>
            </w:pPr>
            <w:r>
              <w:rPr/>
              <w:t>​</w:t>
            </w:r>
          </w:p>
        </w:tc>
        <w:tc>
          <w:tcPr>
            <w:tcW w:w="263"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12"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43.85</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325"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66"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26</w:t>
            </w:r>
          </w:p>
        </w:tc>
      </w:tr>
      <w:tr>
        <w:trPr/>
        <w:tc>
          <w:tcPr>
            <w:tcW w:w="1876"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 xml:space="preserve">Granted </w:t>
            </w:r>
          </w:p>
        </w:tc>
        <w:tc>
          <w:tcPr>
            <w:tcW w:w="109" w:type="dxa"/>
            <w:tcBorders/>
            <w:vAlign w:val="center"/>
          </w:tcPr>
          <w:p>
            <w:pPr>
              <w:pStyle w:val="TableContents"/>
              <w:bidi w:val="0"/>
              <w:spacing w:lineRule="auto" w:line="285" w:before="0" w:after="0"/>
              <w:ind w:left="0" w:right="0" w:hanging="0"/>
              <w:jc w:val="left"/>
              <w:rPr/>
            </w:pPr>
            <w:r>
              <w:rPr/>
              <w:t>​</w:t>
            </w:r>
          </w:p>
        </w:tc>
        <w:tc>
          <w:tcPr>
            <w:tcW w:w="1366"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214,116</w:t>
            </w:r>
          </w:p>
        </w:tc>
        <w:tc>
          <w:tcPr>
            <w:tcW w:w="109" w:type="dxa"/>
            <w:tcBorders/>
            <w:vAlign w:val="center"/>
          </w:tcPr>
          <w:p>
            <w:pPr>
              <w:pStyle w:val="TableContents"/>
              <w:bidi w:val="0"/>
              <w:spacing w:lineRule="auto" w:line="285" w:before="0" w:after="0"/>
              <w:ind w:left="0" w:right="0" w:hanging="0"/>
              <w:jc w:val="right"/>
              <w:rPr/>
            </w:pPr>
            <w:r>
              <w:rPr/>
              <w:t>​</w:t>
            </w:r>
          </w:p>
        </w:tc>
        <w:tc>
          <w:tcPr>
            <w:tcW w:w="263" w:type="dxa"/>
            <w:tcBorders/>
            <w:vAlign w:val="center"/>
          </w:tcPr>
          <w:p>
            <w:pPr>
              <w:pStyle w:val="TableContents"/>
              <w:bidi w:val="0"/>
              <w:spacing w:lineRule="auto" w:line="285" w:before="0" w:after="0"/>
              <w:ind w:left="0" w:right="0" w:hanging="0"/>
              <w:jc w:val="left"/>
              <w:rPr/>
            </w:pPr>
            <w:r>
              <w:rPr/>
              <w:t>​</w:t>
            </w:r>
          </w:p>
        </w:tc>
        <w:tc>
          <w:tcPr>
            <w:tcW w:w="712"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2.54</w:t>
            </w:r>
          </w:p>
        </w:tc>
        <w:tc>
          <w:tcPr>
            <w:tcW w:w="109" w:type="dxa"/>
            <w:tcBorders/>
            <w:vAlign w:val="center"/>
          </w:tcPr>
          <w:p>
            <w:pPr>
              <w:pStyle w:val="TableContents"/>
              <w:bidi w:val="0"/>
              <w:spacing w:lineRule="auto" w:line="285" w:before="0" w:after="0"/>
              <w:ind w:left="0" w:right="0" w:hanging="0"/>
              <w:jc w:val="right"/>
              <w:rPr/>
            </w:pPr>
            <w:r>
              <w:rPr/>
              <w:t>​</w:t>
            </w:r>
          </w:p>
        </w:tc>
        <w:tc>
          <w:tcPr>
            <w:tcW w:w="315" w:type="dxa"/>
            <w:tcBorders/>
            <w:vAlign w:val="center"/>
          </w:tcPr>
          <w:p>
            <w:pPr>
              <w:pStyle w:val="TableContents"/>
              <w:bidi w:val="0"/>
              <w:spacing w:lineRule="auto" w:line="285" w:before="0" w:after="0"/>
              <w:ind w:left="0" w:right="0" w:hanging="0"/>
              <w:jc w:val="left"/>
              <w:rPr/>
            </w:pPr>
            <w:r>
              <w:rPr/>
              <w:t>​</w:t>
            </w:r>
          </w:p>
        </w:tc>
        <w:tc>
          <w:tcPr>
            <w:tcW w:w="631" w:type="dxa"/>
            <w:tcBorders/>
            <w:vAlign w:val="center"/>
          </w:tcPr>
          <w:p>
            <w:pPr>
              <w:pStyle w:val="TableContents"/>
              <w:bidi w:val="0"/>
              <w:spacing w:lineRule="auto" w:line="285" w:before="0" w:after="0"/>
              <w:ind w:left="0" w:right="0" w:hanging="0"/>
              <w:jc w:val="right"/>
              <w:rPr/>
            </w:pPr>
            <w:r>
              <w:rPr/>
              <w:t>​</w:t>
            </w:r>
          </w:p>
        </w:tc>
        <w:tc>
          <w:tcPr>
            <w:tcW w:w="109" w:type="dxa"/>
            <w:tcBorders/>
            <w:vAlign w:val="center"/>
          </w:tcPr>
          <w:p>
            <w:pPr>
              <w:pStyle w:val="TableContents"/>
              <w:bidi w:val="0"/>
              <w:spacing w:lineRule="auto" w:line="285" w:before="0" w:after="0"/>
              <w:ind w:left="0" w:right="0" w:hanging="0"/>
              <w:jc w:val="right"/>
              <w:rPr/>
            </w:pPr>
            <w:r>
              <w:rPr/>
              <w:t>​</w:t>
            </w:r>
          </w:p>
        </w:tc>
        <w:tc>
          <w:tcPr>
            <w:tcW w:w="1366" w:type="dxa"/>
            <w:tcBorders/>
            <w:vAlign w:val="center"/>
          </w:tcPr>
          <w:p>
            <w:pPr>
              <w:pStyle w:val="TableContents"/>
              <w:bidi w:val="0"/>
              <w:spacing w:lineRule="auto" w:line="285" w:before="0" w:after="0"/>
              <w:ind w:left="0" w:right="0" w:hanging="0"/>
              <w:jc w:val="right"/>
              <w:rPr/>
            </w:pPr>
            <w:r>
              <w:rPr/>
              <w:t>​</w:t>
            </w:r>
          </w:p>
        </w:tc>
        <w:tc>
          <w:tcPr>
            <w:tcW w:w="109" w:type="dxa"/>
            <w:tcBorders/>
            <w:vAlign w:val="center"/>
          </w:tcPr>
          <w:p>
            <w:pPr>
              <w:pStyle w:val="TableContents"/>
              <w:bidi w:val="0"/>
              <w:spacing w:lineRule="auto" w:line="285" w:before="0" w:after="0"/>
              <w:ind w:left="0" w:right="0" w:hanging="0"/>
              <w:jc w:val="right"/>
              <w:rPr/>
            </w:pPr>
            <w:r>
              <w:rPr/>
              <w:t>​</w:t>
            </w:r>
          </w:p>
        </w:tc>
        <w:tc>
          <w:tcPr>
            <w:tcW w:w="263" w:type="dxa"/>
            <w:tcBorders/>
            <w:vAlign w:val="center"/>
          </w:tcPr>
          <w:p>
            <w:pPr>
              <w:pStyle w:val="TableContents"/>
              <w:bidi w:val="0"/>
              <w:spacing w:lineRule="auto" w:line="285" w:before="0" w:after="0"/>
              <w:ind w:left="0" w:right="0" w:hanging="0"/>
              <w:jc w:val="left"/>
              <w:rPr/>
            </w:pPr>
            <w:r>
              <w:rPr/>
              <w:t>​</w:t>
            </w:r>
          </w:p>
        </w:tc>
        <w:tc>
          <w:tcPr>
            <w:tcW w:w="712" w:type="dxa"/>
            <w:tcBorders/>
            <w:vAlign w:val="center"/>
          </w:tcPr>
          <w:p>
            <w:pPr>
              <w:pStyle w:val="TableContents"/>
              <w:bidi w:val="0"/>
              <w:spacing w:lineRule="auto" w:line="285" w:before="0" w:after="0"/>
              <w:ind w:left="0" w:right="0" w:hanging="0"/>
              <w:jc w:val="right"/>
              <w:rPr/>
            </w:pPr>
            <w:r>
              <w:rPr/>
              <w:t>​</w:t>
            </w:r>
          </w:p>
        </w:tc>
        <w:tc>
          <w:tcPr>
            <w:tcW w:w="109" w:type="dxa"/>
            <w:tcBorders/>
            <w:vAlign w:val="center"/>
          </w:tcPr>
          <w:p>
            <w:pPr>
              <w:pStyle w:val="TableContents"/>
              <w:bidi w:val="0"/>
              <w:spacing w:lineRule="auto" w:line="285" w:before="0" w:after="0"/>
              <w:ind w:left="0" w:right="0" w:hanging="0"/>
              <w:jc w:val="right"/>
              <w:rPr/>
            </w:pPr>
            <w:r>
              <w:rPr/>
              <w:t>​</w:t>
            </w:r>
          </w:p>
        </w:tc>
        <w:tc>
          <w:tcPr>
            <w:tcW w:w="325" w:type="dxa"/>
            <w:tcBorders/>
            <w:vAlign w:val="center"/>
          </w:tcPr>
          <w:p>
            <w:pPr>
              <w:pStyle w:val="TableContents"/>
              <w:bidi w:val="0"/>
              <w:spacing w:lineRule="auto" w:line="285" w:before="0" w:after="0"/>
              <w:ind w:left="0" w:right="0" w:hanging="0"/>
              <w:jc w:val="left"/>
              <w:rPr/>
            </w:pPr>
            <w:r>
              <w:rPr/>
              <w:t>​</w:t>
            </w:r>
          </w:p>
        </w:tc>
        <w:tc>
          <w:tcPr>
            <w:tcW w:w="666" w:type="dxa"/>
            <w:tcBorders/>
            <w:vAlign w:val="center"/>
          </w:tcPr>
          <w:p>
            <w:pPr>
              <w:pStyle w:val="TableContents"/>
              <w:bidi w:val="0"/>
              <w:spacing w:lineRule="auto" w:line="285" w:before="0" w:after="0"/>
              <w:ind w:left="0" w:right="0" w:hanging="0"/>
              <w:jc w:val="right"/>
              <w:rPr/>
            </w:pPr>
            <w:r>
              <w:rPr/>
              <w:t>​</w:t>
            </w:r>
          </w:p>
        </w:tc>
      </w:tr>
      <w:tr>
        <w:trPr/>
        <w:tc>
          <w:tcPr>
            <w:tcW w:w="187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Vested and released</w:t>
            </w:r>
          </w:p>
        </w:tc>
        <w:tc>
          <w:tcPr>
            <w:tcW w:w="109"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136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(9,356)</w:t>
            </w:r>
          </w:p>
        </w:tc>
        <w:tc>
          <w:tcPr>
            <w:tcW w:w="109"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pPr>
            <w:r>
              <w:rPr/>
              <w:t>​</w:t>
            </w:r>
          </w:p>
        </w:tc>
        <w:tc>
          <w:tcPr>
            <w:tcW w:w="263"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712"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17.73</w:t>
            </w:r>
          </w:p>
        </w:tc>
        <w:tc>
          <w:tcPr>
            <w:tcW w:w="109"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pPr>
            <w:r>
              <w:rPr/>
              <w:t>​</w:t>
            </w:r>
          </w:p>
        </w:tc>
        <w:tc>
          <w:tcPr>
            <w:tcW w:w="315"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63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20</w:t>
            </w:r>
          </w:p>
        </w:tc>
        <w:tc>
          <w:tcPr>
            <w:tcW w:w="109"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pPr>
            <w:r>
              <w:rPr/>
              <w:t>​</w:t>
            </w:r>
          </w:p>
        </w:tc>
        <w:tc>
          <w:tcPr>
            <w:tcW w:w="136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109"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263"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712"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109"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325"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66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r>
      <w:tr>
        <w:trPr/>
        <w:tc>
          <w:tcPr>
            <w:tcW w:w="1876"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As of June 30, 2026</w:t>
            </w:r>
          </w:p>
        </w:tc>
        <w:tc>
          <w:tcPr>
            <w:tcW w:w="109"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1366"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234,055</w:t>
            </w:r>
          </w:p>
        </w:tc>
        <w:tc>
          <w:tcPr>
            <w:tcW w:w="109"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pPr>
            <w:r>
              <w:rPr/>
              <w:t>​</w:t>
            </w:r>
          </w:p>
        </w:tc>
        <w:tc>
          <w:tcPr>
            <w:tcW w:w="263"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12"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3.98</w:t>
            </w:r>
          </w:p>
        </w:tc>
        <w:tc>
          <w:tcPr>
            <w:tcW w:w="109"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pPr>
            <w:r>
              <w:rPr/>
              <w:t>​</w:t>
            </w:r>
          </w:p>
        </w:tc>
        <w:tc>
          <w:tcPr>
            <w:tcW w:w="315"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31"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335</w:t>
            </w:r>
          </w:p>
        </w:tc>
        <w:tc>
          <w:tcPr>
            <w:tcW w:w="109"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pPr>
            <w:r>
              <w:rPr/>
              <w:t>​</w:t>
            </w:r>
          </w:p>
        </w:tc>
        <w:tc>
          <w:tcPr>
            <w:tcW w:w="1366"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11,443</w:t>
            </w:r>
          </w:p>
        </w:tc>
        <w:tc>
          <w:tcPr>
            <w:tcW w:w="109"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pPr>
            <w:r>
              <w:rPr/>
              <w:t>​</w:t>
            </w:r>
          </w:p>
        </w:tc>
        <w:tc>
          <w:tcPr>
            <w:tcW w:w="263"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12"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20.23</w:t>
            </w:r>
          </w:p>
        </w:tc>
        <w:tc>
          <w:tcPr>
            <w:tcW w:w="109"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pPr>
            <w:r>
              <w:rPr/>
              <w:t>​</w:t>
            </w:r>
          </w:p>
        </w:tc>
        <w:tc>
          <w:tcPr>
            <w:tcW w:w="325"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66" w:type="dxa"/>
            <w:tcBorders>
              <w:bottom w:val="double" w:sz="6" w:space="0" w:color="000000"/>
            </w:tcBorders>
            <w:tcMar>
              <w:bottom w:w="28" w:type="dxa"/>
            </w:tcMar>
            <w:vAlign w:val="center"/>
          </w:tcPr>
          <w:p>
            <w:pPr>
              <w:pStyle w:val="TableContents"/>
              <w:bidi w:val="0"/>
              <w:spacing w:lineRule="auto" w:line="285" w:before="0" w:after="0"/>
              <w:ind w:left="0" w:right="70" w:hanging="0"/>
              <w:jc w:val="right"/>
              <w:rPr>
                <w:rFonts w:ascii="Times New Roman;Times;serif" w:hAnsi="Times New Roman;Times;serif"/>
                <w:sz w:val="20"/>
              </w:rPr>
            </w:pPr>
            <w:r>
              <w:rPr>
                <w:rFonts w:ascii="Times New Roman;Times;serif" w:hAnsi="Times New Roman;Times;serif"/>
                <w:sz w:val="20"/>
              </w:rPr>
              <w:t>16</w:t>
            </w:r>
          </w:p>
        </w:tc>
      </w:tr>
    </w:tbl>
    <w:p>
      <w:pPr>
        <w:pStyle w:val="TextBody"/>
        <w:bidi w:val="0"/>
        <w:spacing w:lineRule="auto" w:line="285" w:before="0" w:after="0"/>
        <w:ind w:left="0" w:right="0" w:hanging="0"/>
        <w:jc w:val="left"/>
        <w:rPr/>
      </w:pPr>
      <w:r>
        <w:rPr/>
        <w:t>​</w:t>
      </w:r>
    </w:p>
    <w:p>
      <w:pPr>
        <w:pStyle w:val="TextBody"/>
        <w:bidi w:val="0"/>
        <w:spacing w:lineRule="auto" w:line="285" w:before="160" w:after="160"/>
        <w:ind w:left="0" w:right="0" w:hanging="0"/>
        <w:jc w:val="both"/>
        <w:rPr>
          <w:rFonts w:ascii="Times New Roman;Times;serif" w:hAnsi="Times New Roman;Times;serif"/>
          <w:i/>
          <w:sz w:val="20"/>
        </w:rPr>
      </w:pPr>
      <w:r>
        <w:rPr>
          <w:rFonts w:ascii="Times New Roman;Times;serif" w:hAnsi="Times New Roman;Times;serif"/>
          <w:i/>
          <w:sz w:val="20"/>
        </w:rPr>
        <w:t>Stock-based compensation expense</w:t>
      </w:r>
    </w:p>
    <w:p>
      <w:pPr>
        <w:pStyle w:val="TextBody"/>
        <w:bidi w:val="0"/>
        <w:spacing w:lineRule="auto" w:line="285" w:before="160" w:after="160"/>
        <w:ind w:left="0" w:right="0" w:hanging="0"/>
        <w:jc w:val="both"/>
        <w:rPr>
          <w:rFonts w:ascii="Times New Roman;Times;serif" w:hAnsi="Times New Roman;Times;serif"/>
          <w:sz w:val="20"/>
        </w:rPr>
      </w:pPr>
      <w:r>
        <w:rPr>
          <w:rFonts w:ascii="Times New Roman;Times;serif" w:hAnsi="Times New Roman;Times;serif"/>
          <w:sz w:val="20"/>
        </w:rPr>
        <w:t xml:space="preserve">Stock-based compensation expense was included in operating expenses as follows </w:t>
      </w:r>
      <w:r>
        <w:rPr>
          <w:rFonts w:ascii="Times New Roman;Times;serif" w:hAnsi="Times New Roman;Times;serif"/>
          <w:sz w:val="20"/>
          <w:shd w:fill="FFFFFF" w:val="clear"/>
        </w:rPr>
        <w:t>(in thousands)</w:t>
      </w:r>
      <w:r>
        <w:rPr>
          <w:rFonts w:ascii="Times New Roman;Times;serif" w:hAnsi="Times New Roman;Times;serif"/>
          <w:sz w:val="20"/>
        </w:rPr>
        <w:t>:</w:t>
      </w:r>
    </w:p>
    <w:tbl>
      <w:tblPr>
        <w:tblW w:w="7881" w:type="dxa"/>
        <w:jc w:val="left"/>
        <w:tblInd w:w="0" w:type="dxa"/>
        <w:tblLayout w:type="fixed"/>
        <w:tblCellMar>
          <w:top w:w="0" w:type="dxa"/>
          <w:left w:w="0" w:type="dxa"/>
          <w:bottom w:w="0" w:type="dxa"/>
          <w:right w:w="0" w:type="dxa"/>
        </w:tblCellMar>
      </w:tblPr>
      <w:tblGrid>
        <w:gridCol w:w="2746"/>
        <w:gridCol w:w="109"/>
        <w:gridCol w:w="389"/>
        <w:gridCol w:w="777"/>
        <w:gridCol w:w="201"/>
        <w:gridCol w:w="389"/>
        <w:gridCol w:w="777"/>
        <w:gridCol w:w="109"/>
        <w:gridCol w:w="338"/>
        <w:gridCol w:w="675"/>
        <w:gridCol w:w="174"/>
        <w:gridCol w:w="338"/>
        <w:gridCol w:w="859"/>
      </w:tblGrid>
      <w:tr>
        <w:trPr/>
        <w:tc>
          <w:tcPr>
            <w:tcW w:w="2746"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69215" cy="175260"/>
                      <wp:effectExtent l="0" t="0" r="0" b="0"/>
                      <wp:wrapNone/>
                      <wp:docPr id="114" name="Frame11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8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247015" cy="175260"/>
                      <wp:effectExtent l="0" t="0" r="0" b="0"/>
                      <wp:wrapNone/>
                      <wp:docPr id="115" name="Frame114"/>
                      <a:graphic xmlns:a="http://schemas.openxmlformats.org/drawingml/2006/main">
                        <a:graphicData uri="http://schemas.microsoft.com/office/word/2010/wordprocessingShape">
                          <wps:wsp>
                            <wps:cNvSpPr txBox="1"/>
                            <wps:spPr>
                              <a:xfrm>
                                <a:off x="0" y="0"/>
                                <a:ext cx="24701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77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493395" cy="175260"/>
                      <wp:effectExtent l="0" t="0" r="0" b="0"/>
                      <wp:wrapNone/>
                      <wp:docPr id="116" name="Frame115"/>
                      <a:graphic xmlns:a="http://schemas.openxmlformats.org/drawingml/2006/main">
                        <a:graphicData uri="http://schemas.microsoft.com/office/word/2010/wordprocessingShape">
                          <wps:wsp>
                            <wps:cNvSpPr txBox="1"/>
                            <wps:spPr>
                              <a:xfrm>
                                <a:off x="0" y="0"/>
                                <a:ext cx="49339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127635" cy="175260"/>
                      <wp:effectExtent l="0" t="0" r="0" b="0"/>
                      <wp:wrapNone/>
                      <wp:docPr id="117" name="Frame116"/>
                      <a:graphic xmlns:a="http://schemas.openxmlformats.org/drawingml/2006/main">
                        <a:graphicData uri="http://schemas.microsoft.com/office/word/2010/wordprocessingShape">
                          <wps:wsp>
                            <wps:cNvSpPr txBox="1"/>
                            <wps:spPr>
                              <a:xfrm>
                                <a:off x="0" y="0"/>
                                <a:ext cx="12763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8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247015" cy="175260"/>
                      <wp:effectExtent l="0" t="0" r="0" b="0"/>
                      <wp:wrapNone/>
                      <wp:docPr id="118" name="Frame117"/>
                      <a:graphic xmlns:a="http://schemas.openxmlformats.org/drawingml/2006/main">
                        <a:graphicData uri="http://schemas.microsoft.com/office/word/2010/wordprocessingShape">
                          <wps:wsp>
                            <wps:cNvSpPr txBox="1"/>
                            <wps:spPr>
                              <a:xfrm>
                                <a:off x="0" y="0"/>
                                <a:ext cx="24701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77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493395" cy="175260"/>
                      <wp:effectExtent l="0" t="0" r="0" b="0"/>
                      <wp:wrapNone/>
                      <wp:docPr id="119" name="Frame118"/>
                      <a:graphic xmlns:a="http://schemas.openxmlformats.org/drawingml/2006/main">
                        <a:graphicData uri="http://schemas.microsoft.com/office/word/2010/wordprocessingShape">
                          <wps:wsp>
                            <wps:cNvSpPr txBox="1"/>
                            <wps:spPr>
                              <a:xfrm>
                                <a:off x="0" y="0"/>
                                <a:ext cx="49339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69215" cy="175260"/>
                      <wp:effectExtent l="0" t="0" r="0" b="0"/>
                      <wp:wrapNone/>
                      <wp:docPr id="120" name="Frame119"/>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3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214630" cy="175260"/>
                      <wp:effectExtent l="0" t="0" r="0" b="0"/>
                      <wp:wrapNone/>
                      <wp:docPr id="121" name="Frame120"/>
                      <a:graphic xmlns:a="http://schemas.openxmlformats.org/drawingml/2006/main">
                        <a:graphicData uri="http://schemas.microsoft.com/office/word/2010/wordprocessingShape">
                          <wps:wsp>
                            <wps:cNvSpPr txBox="1"/>
                            <wps:spPr>
                              <a:xfrm>
                                <a:off x="0" y="0"/>
                                <a:ext cx="21463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67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428625" cy="175260"/>
                      <wp:effectExtent l="0" t="0" r="0" b="0"/>
                      <wp:wrapNone/>
                      <wp:docPr id="122" name="Frame121"/>
                      <a:graphic xmlns:a="http://schemas.openxmlformats.org/drawingml/2006/main">
                        <a:graphicData uri="http://schemas.microsoft.com/office/word/2010/wordprocessingShape">
                          <wps:wsp>
                            <wps:cNvSpPr txBox="1"/>
                            <wps:spPr>
                              <a:xfrm>
                                <a:off x="0" y="0"/>
                                <a:ext cx="42862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7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110490" cy="175260"/>
                      <wp:effectExtent l="0" t="0" r="0" b="0"/>
                      <wp:wrapNone/>
                      <wp:docPr id="123" name="Frame122"/>
                      <a:graphic xmlns:a="http://schemas.openxmlformats.org/drawingml/2006/main">
                        <a:graphicData uri="http://schemas.microsoft.com/office/word/2010/wordprocessingShape">
                          <wps:wsp>
                            <wps:cNvSpPr txBox="1"/>
                            <wps:spPr>
                              <a:xfrm>
                                <a:off x="0" y="0"/>
                                <a:ext cx="11049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3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214630" cy="175260"/>
                      <wp:effectExtent l="0" t="0" r="0" b="0"/>
                      <wp:wrapNone/>
                      <wp:docPr id="124" name="Frame123"/>
                      <a:graphic xmlns:a="http://schemas.openxmlformats.org/drawingml/2006/main">
                        <a:graphicData uri="http://schemas.microsoft.com/office/word/2010/wordprocessingShape">
                          <wps:wsp>
                            <wps:cNvSpPr txBox="1"/>
                            <wps:spPr>
                              <a:xfrm>
                                <a:off x="0" y="0"/>
                                <a:ext cx="21463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85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545465" cy="175260"/>
                      <wp:effectExtent l="0" t="0" r="0" b="0"/>
                      <wp:wrapNone/>
                      <wp:docPr id="125" name="Frame124"/>
                      <a:graphic xmlns:a="http://schemas.openxmlformats.org/drawingml/2006/main">
                        <a:graphicData uri="http://schemas.microsoft.com/office/word/2010/wordprocessingShape">
                          <wps:wsp>
                            <wps:cNvSpPr txBox="1"/>
                            <wps:spPr>
                              <a:xfrm>
                                <a:off x="0" y="0"/>
                                <a:ext cx="54546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r>
      <w:tr>
        <w:trPr/>
        <w:tc>
          <w:tcPr>
            <w:tcW w:w="2746"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2533" w:type="dxa"/>
            <w:gridSpan w:val="5"/>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Three Months Ended June 30,</w:t>
            </w:r>
          </w:p>
        </w:tc>
        <w:tc>
          <w:tcPr>
            <w:tcW w:w="109" w:type="dxa"/>
            <w:tcBorders/>
            <w:vAlign w:val="center"/>
          </w:tcPr>
          <w:p>
            <w:pPr>
              <w:pStyle w:val="TableContents"/>
              <w:bidi w:val="0"/>
              <w:spacing w:lineRule="auto" w:line="285" w:before="0" w:after="0"/>
              <w:ind w:left="0" w:right="0" w:hanging="0"/>
              <w:jc w:val="left"/>
              <w:rPr/>
            </w:pPr>
            <w:r>
              <w:rPr/>
              <w:t>​</w:t>
            </w:r>
          </w:p>
        </w:tc>
        <w:tc>
          <w:tcPr>
            <w:tcW w:w="2384" w:type="dxa"/>
            <w:gridSpan w:val="5"/>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Six Months Ended June 30,</w:t>
            </w:r>
          </w:p>
        </w:tc>
      </w:tr>
      <w:tr>
        <w:trPr/>
        <w:tc>
          <w:tcPr>
            <w:tcW w:w="2746"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109"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1166"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2026</w:t>
            </w:r>
          </w:p>
        </w:tc>
        <w:tc>
          <w:tcPr>
            <w:tcW w:w="201"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1166"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2025</w:t>
            </w:r>
          </w:p>
        </w:tc>
        <w:tc>
          <w:tcPr>
            <w:tcW w:w="109"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1013"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2026</w:t>
            </w:r>
          </w:p>
        </w:tc>
        <w:tc>
          <w:tcPr>
            <w:tcW w:w="174"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1197"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2025</w:t>
            </w:r>
          </w:p>
        </w:tc>
      </w:tr>
      <w:tr>
        <w:trPr/>
        <w:tc>
          <w:tcPr>
            <w:tcW w:w="274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General and administrative</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389"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77"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92</w:t>
            </w:r>
          </w:p>
        </w:tc>
        <w:tc>
          <w:tcPr>
            <w:tcW w:w="201" w:type="dxa"/>
            <w:tcBorders/>
            <w:shd w:fill="CCEEFF" w:val="clear"/>
            <w:vAlign w:val="center"/>
          </w:tcPr>
          <w:p>
            <w:pPr>
              <w:pStyle w:val="TableContents"/>
              <w:bidi w:val="0"/>
              <w:spacing w:lineRule="auto" w:line="285" w:before="0" w:after="0"/>
              <w:ind w:left="0" w:right="0" w:hanging="0"/>
              <w:jc w:val="right"/>
              <w:rPr/>
            </w:pPr>
            <w:r>
              <w:rPr/>
              <w:t>​</w:t>
            </w:r>
          </w:p>
        </w:tc>
        <w:tc>
          <w:tcPr>
            <w:tcW w:w="389"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77"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83</w:t>
            </w:r>
          </w:p>
        </w:tc>
        <w:tc>
          <w:tcPr>
            <w:tcW w:w="109" w:type="dxa"/>
            <w:tcBorders/>
            <w:shd w:fill="CCEEFF" w:val="clear"/>
            <w:vAlign w:val="center"/>
          </w:tcPr>
          <w:p>
            <w:pPr>
              <w:pStyle w:val="TableContents"/>
              <w:bidi w:val="0"/>
              <w:spacing w:lineRule="auto" w:line="285" w:before="0" w:after="0"/>
              <w:ind w:left="0" w:right="0" w:hanging="0"/>
              <w:jc w:val="right"/>
              <w:rPr/>
            </w:pPr>
            <w:r>
              <w:rPr/>
              <w:t>​</w:t>
            </w:r>
          </w:p>
        </w:tc>
        <w:tc>
          <w:tcPr>
            <w:tcW w:w="338"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5"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161</w:t>
            </w:r>
          </w:p>
        </w:tc>
        <w:tc>
          <w:tcPr>
            <w:tcW w:w="174" w:type="dxa"/>
            <w:tcBorders/>
            <w:shd w:fill="CCEEFF" w:val="clear"/>
            <w:vAlign w:val="center"/>
          </w:tcPr>
          <w:p>
            <w:pPr>
              <w:pStyle w:val="TableContents"/>
              <w:bidi w:val="0"/>
              <w:spacing w:lineRule="auto" w:line="285" w:before="0" w:after="0"/>
              <w:ind w:left="0" w:right="0" w:hanging="0"/>
              <w:jc w:val="right"/>
              <w:rPr/>
            </w:pPr>
            <w:r>
              <w:rPr/>
              <w:t>​</w:t>
            </w:r>
          </w:p>
        </w:tc>
        <w:tc>
          <w:tcPr>
            <w:tcW w:w="338"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59"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175</w:t>
            </w:r>
          </w:p>
        </w:tc>
      </w:tr>
      <w:tr>
        <w:trPr/>
        <w:tc>
          <w:tcPr>
            <w:tcW w:w="2746"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Research and development</w:t>
            </w:r>
          </w:p>
        </w:tc>
        <w:tc>
          <w:tcPr>
            <w:tcW w:w="109"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389"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777"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38</w:t>
            </w:r>
          </w:p>
        </w:tc>
        <w:tc>
          <w:tcPr>
            <w:tcW w:w="201"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389"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777"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28</w:t>
            </w:r>
          </w:p>
        </w:tc>
        <w:tc>
          <w:tcPr>
            <w:tcW w:w="109"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338"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675"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69</w:t>
            </w:r>
          </w:p>
        </w:tc>
        <w:tc>
          <w:tcPr>
            <w:tcW w:w="174"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338"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859"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68</w:t>
            </w:r>
          </w:p>
        </w:tc>
      </w:tr>
      <w:tr>
        <w:trPr/>
        <w:tc>
          <w:tcPr>
            <w:tcW w:w="2746"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Total stock-based compensation</w:t>
            </w:r>
          </w:p>
        </w:tc>
        <w:tc>
          <w:tcPr>
            <w:tcW w:w="109"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389"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77"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130</w:t>
            </w:r>
          </w:p>
        </w:tc>
        <w:tc>
          <w:tcPr>
            <w:tcW w:w="201"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389"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77"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111</w:t>
            </w:r>
          </w:p>
        </w:tc>
        <w:tc>
          <w:tcPr>
            <w:tcW w:w="109"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338"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5"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230</w:t>
            </w:r>
          </w:p>
        </w:tc>
        <w:tc>
          <w:tcPr>
            <w:tcW w:w="174"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338"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59" w:type="dxa"/>
            <w:tcBorders>
              <w:bottom w:val="double" w:sz="6" w:space="0" w:color="000000"/>
            </w:tcBorders>
            <w:shd w:fill="CCEEFF" w:val="clear"/>
            <w:tcMar>
              <w:bottom w:w="28" w:type="dxa"/>
            </w:tcMar>
            <w:vAlign w:val="center"/>
          </w:tcPr>
          <w:p>
            <w:pPr>
              <w:pStyle w:val="TableContents"/>
              <w:bidi w:val="0"/>
              <w:spacing w:lineRule="auto" w:line="285" w:before="0" w:after="0"/>
              <w:ind w:left="0" w:right="70" w:hanging="0"/>
              <w:jc w:val="right"/>
              <w:rPr>
                <w:rFonts w:ascii="Times New Roman;Times;serif" w:hAnsi="Times New Roman;Times;serif"/>
                <w:sz w:val="20"/>
              </w:rPr>
            </w:pPr>
            <w:r>
              <w:rPr>
                <w:rFonts w:ascii="Times New Roman;Times;serif" w:hAnsi="Times New Roman;Times;serif"/>
                <w:sz w:val="20"/>
              </w:rPr>
              <w:t>243</w:t>
            </w:r>
          </w:p>
        </w:tc>
      </w:tr>
    </w:tbl>
    <w:p>
      <w:pPr>
        <w:pStyle w:val="TextBody"/>
        <w:bidi w:val="0"/>
        <w:spacing w:lineRule="auto" w:line="285" w:before="0" w:after="0"/>
        <w:ind w:left="0" w:right="0" w:hanging="0"/>
        <w:jc w:val="left"/>
        <w:rPr/>
      </w:pPr>
      <w:r>
        <w:rPr/>
        <w:t>​</w:t>
      </w:r>
    </w:p>
    <w:p>
      <w:pPr>
        <w:pStyle w:val="TextBody"/>
        <w:bidi w:val="0"/>
        <w:spacing w:lineRule="auto" w:line="285" w:before="160" w:after="0"/>
        <w:ind w:left="0" w:right="0" w:hanging="0"/>
        <w:jc w:val="both"/>
        <w:rPr>
          <w:rFonts w:ascii="Times New Roman;Times;serif" w:hAnsi="Times New Roman;Times;serif"/>
          <w:sz w:val="20"/>
        </w:rPr>
      </w:pPr>
      <w:r>
        <w:rPr>
          <w:rFonts w:ascii="Times New Roman;Times;serif" w:hAnsi="Times New Roman;Times;serif"/>
          <w:sz w:val="20"/>
        </w:rPr>
        <w:t>For stock-based awards granted under our stock-based award plans as of June 30, 2026, unrecognized stock-based compensation costs totaled $0.6 million. The unrecognized stock-based costs are expected to be recognized as an expense over a weighted average period of 1.2 years.</w:t>
      </w:r>
    </w:p>
    <w:p>
      <w:pPr>
        <w:pStyle w:val="TextBody"/>
        <w:bidi w:val="0"/>
        <w:spacing w:lineRule="auto" w:line="285" w:before="0" w:after="0"/>
        <w:ind w:left="0" w:right="0" w:hanging="0"/>
        <w:jc w:val="both"/>
        <w:rPr/>
      </w:pPr>
      <w:r>
        <w:rPr/>
        <w:t>​</w:t>
      </w:r>
    </w:p>
    <w:p>
      <w:pPr>
        <w:pStyle w:val="TextBody"/>
        <w:bidi w:val="0"/>
        <w:spacing w:lineRule="auto" w:line="285" w:before="0" w:after="0"/>
        <w:ind w:left="0" w:right="806" w:hanging="0"/>
        <w:jc w:val="both"/>
        <w:rPr/>
      </w:pPr>
      <w:r>
        <w:rPr/>
        <w:t>​</w:t>
      </w:r>
    </w:p>
    <w:p>
      <w:pPr>
        <w:pStyle w:val="TextBody"/>
        <w:bidi w:val="0"/>
        <w:spacing w:lineRule="auto" w:line="285" w:before="0" w:after="16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8.</w:t>
      </w:r>
      <w:r>
        <w:rPr>
          <w:rFonts w:ascii="Times New Roman;Times;serif" w:hAnsi="Times New Roman;Times;serif"/>
          <w:b/>
          <w:sz w:val="20"/>
        </w:rPr>
        <w:t>Significant segment expenses and loss before income taxes</w:t>
      </w:r>
    </w:p>
    <w:p>
      <w:pPr>
        <w:pStyle w:val="TextBody"/>
        <w:bidi w:val="0"/>
        <w:spacing w:lineRule="auto" w:line="285" w:before="0" w:after="160"/>
        <w:ind w:left="0" w:right="0" w:hanging="0"/>
        <w:jc w:val="both"/>
        <w:rPr>
          <w:rFonts w:ascii="Times New Roman;Times;serif" w:hAnsi="Times New Roman;Times;serif"/>
          <w:color w:val="212529"/>
          <w:spacing w:val="4"/>
          <w:sz w:val="20"/>
        </w:rPr>
      </w:pPr>
      <w:r>
        <w:rPr>
          <w:rFonts w:ascii="Times New Roman;Times;serif" w:hAnsi="Times New Roman;Times;serif"/>
          <w:color w:val="212529"/>
          <w:spacing w:val="4"/>
          <w:sz w:val="20"/>
        </w:rPr>
        <w:t>We manage and operate as one reportable segment, which is principally the business of development of pharmaceutical products, with one geographic location in the U.S. We do not operate separate lines of business with respect to each pharmaceutical product being studied. Our Chief Operating Decision Maker (“CODM”) is our chief executive officer. The CODM manages the Company’s operations on a consolidated basis for the purpose of allocating resources. The measure of performance used by the CODM to assess segment performance is reported on the consolidated statements of operations as loss from operations and net loss. Since the Company only has one reportable segment, our CODM does not need to decide on how to allocate resources between segments. The measure of segment assets is reported on the consolidated balance sheets as total assets.</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14</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MetaVia Inc.</w:t>
      </w:r>
    </w:p>
    <w:p>
      <w:pPr>
        <w:pStyle w:val="TextBody"/>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Notes to the Condensed Consolidated Financial Statements</w:t>
      </w:r>
    </w:p>
    <w:p>
      <w:pPr>
        <w:pStyle w:val="TextBody"/>
        <w:bidi w:val="0"/>
        <w:spacing w:lineRule="auto" w:line="285" w:before="0" w:after="0"/>
        <w:ind w:left="0" w:right="0" w:hanging="0"/>
        <w:jc w:val="center"/>
        <w:rPr>
          <w:rFonts w:ascii="Times New Roman;Times;serif" w:hAnsi="Times New Roman;Times;serif"/>
          <w:sz w:val="16"/>
        </w:rPr>
      </w:pPr>
      <w:r>
        <w:rPr>
          <w:rFonts w:ascii="Times New Roman;Times;serif" w:hAnsi="Times New Roman;Times;serif"/>
          <w:sz w:val="16"/>
        </w:rPr>
        <w:t>(Unaudited)</w:t>
      </w:r>
    </w:p>
    <w:p>
      <w:pPr>
        <w:pStyle w:val="TextBody"/>
        <w:bidi w:val="0"/>
        <w:spacing w:lineRule="auto" w:line="285" w:before="0" w:after="0"/>
        <w:ind w:left="0" w:right="0" w:hanging="0"/>
        <w:jc w:val="left"/>
        <w:rPr/>
      </w:pPr>
      <w:r>
        <w:rPr/>
        <w:t>​</w:t>
      </w:r>
    </w:p>
    <w:p>
      <w:pPr>
        <w:pStyle w:val="TextBody"/>
        <w:bidi w:val="0"/>
        <w:spacing w:lineRule="auto" w:line="285" w:before="0" w:after="160"/>
        <w:ind w:left="0" w:right="0" w:hanging="0"/>
        <w:jc w:val="both"/>
        <w:rPr>
          <w:rFonts w:ascii="Times New Roman;Times;serif" w:hAnsi="Times New Roman;Times;serif"/>
          <w:sz w:val="20"/>
        </w:rPr>
      </w:pPr>
      <w:bookmarkStart w:id="670" w:name="Tc_zWIZRfqBq0KtKvpKdhaI2Q_22_11"/>
      <w:bookmarkStart w:id="671" w:name="Tc_5GzSls-S1EeljFgFqXak0Q_22_8"/>
      <w:bookmarkStart w:id="672" w:name="Tc_BsPB4Qy-Qk-DFbhh5gS7PA_22_5"/>
      <w:bookmarkStart w:id="673" w:name="Tc_BTRynowQTE-uTOhrcug0Qg_22_2"/>
      <w:bookmarkStart w:id="674" w:name="Tc_L4onzoTcfkCS9ZNxnFmqFA_22_0"/>
      <w:bookmarkStart w:id="675" w:name="Tc_iSD7OrwhSECWPjwzGoIm1w_21_0"/>
      <w:bookmarkStart w:id="676" w:name="Tc_ZG13xX8eFUKQ2w5X8z2p4Q_20_0"/>
      <w:bookmarkStart w:id="677" w:name="Tc_AjYAhv6w9kurbSPxpsOofg_19_0"/>
      <w:bookmarkStart w:id="678" w:name="Tc_ytfePYp_nEaJ07kHgBfTlg_18_0"/>
      <w:bookmarkStart w:id="679" w:name="Tc_eWpbCHx89UuZpZDo0TMJAQ_17_0"/>
      <w:bookmarkStart w:id="680" w:name="Tc_exZTEXYYWkSYo85ierSZtw_16_0"/>
      <w:bookmarkStart w:id="681" w:name="Tc_uEU2mzEnfEeY2RV_d-mMHw_15_0"/>
      <w:bookmarkStart w:id="682" w:name="Tc_4ks-Hj1bU0CdDpW58-FNAg_14_0"/>
      <w:bookmarkStart w:id="683" w:name="Tc_SEqatYMcnUykanbpVib-aA_13_0"/>
      <w:bookmarkStart w:id="684" w:name="Tc_cJiXoMd4s0OTtgd2M-fSew_12_0"/>
      <w:bookmarkStart w:id="685" w:name="Tc_HbWuuJU59EyggcIgNnQcDg_11_0"/>
      <w:bookmarkStart w:id="686" w:name="Tc_iWtD-2zRN0CZzCWp3pJyPg_10_0"/>
      <w:bookmarkStart w:id="687" w:name="Tc_ddhjFGhirkGxWEokbv7OaQ_9_0"/>
      <w:bookmarkStart w:id="688" w:name="Tc_OGXcFTKvbEWwlOoYarpHiw_8_0"/>
      <w:bookmarkStart w:id="689" w:name="Tc_DbQyQlfbg0-FAxKAFT5w_Q_7_0"/>
      <w:bookmarkStart w:id="690" w:name="Tc_Qd5P06zyt02i5eGtrISrSQ_6_11"/>
      <w:bookmarkStart w:id="691" w:name="Tc_2unVLDOvP0WQJWK0pP-bTA_6_8"/>
      <w:bookmarkStart w:id="692" w:name="Tc_0mVDRWfY_0GOrgwsjnvhTg_6_5"/>
      <w:bookmarkStart w:id="693" w:name="Tc_bIwWdAFK00encOHSpU6Alw_6_2"/>
      <w:bookmarkStart w:id="694" w:name="Tc_HMFDlCDqR0GNDNkIzGwX4Q_6_0"/>
      <w:bookmarkStart w:id="695" w:name="Tc_zhFIceWY20GrU1IQOEyWQA_5_0"/>
      <w:bookmarkStart w:id="696" w:name="Tc_R-Y7GrtmIUKUV0Q0CmB02Q_4_0"/>
      <w:bookmarkStart w:id="697" w:name="Tc_O1s8fkGVz0eXiKuqJ9-9xA_3_0"/>
      <w:bookmarkStart w:id="698" w:name="Tc_wROJSPLpcE6gWGKfWx4O2w_2_11"/>
      <w:bookmarkStart w:id="699" w:name="Tc__QGMsf3BH0WjXnWWVtdg7g_2_8"/>
      <w:bookmarkStart w:id="700" w:name="Tc_8Pd4RIS0RkaL5MBimTeHIw_2_5"/>
      <w:bookmarkStart w:id="701" w:name="Tc_hZu15sTzZU2dM6Aa2YQSDQ_2_2"/>
      <w:bookmarkStart w:id="702" w:name="Tc_EpUB3cuQjkK2We6Ua_ci0w_1_8"/>
      <w:bookmarkStart w:id="703" w:name="Tc_MlUZxVjjsUuT2exN0KobmQ_1_2"/>
      <w:bookmarkStart w:id="704" w:name="_5403a1a9_ab5d_4923_a608_6e3681bc7c37"/>
      <w:bookmarkEnd w:id="670"/>
      <w:bookmarkEnd w:id="671"/>
      <w:bookmarkEnd w:id="672"/>
      <w:bookmarkEnd w:id="673"/>
      <w:bookmarkEnd w:id="674"/>
      <w:bookmarkEnd w:id="675"/>
      <w:bookmarkEnd w:id="676"/>
      <w:bookmarkEnd w:id="677"/>
      <w:bookmarkEnd w:id="678"/>
      <w:bookmarkEnd w:id="679"/>
      <w:bookmarkEnd w:id="680"/>
      <w:bookmarkEnd w:id="681"/>
      <w:bookmarkEnd w:id="682"/>
      <w:bookmarkEnd w:id="683"/>
      <w:bookmarkEnd w:id="684"/>
      <w:bookmarkEnd w:id="685"/>
      <w:bookmarkEnd w:id="686"/>
      <w:bookmarkEnd w:id="687"/>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r>
        <w:rPr>
          <w:rFonts w:ascii="Times New Roman;Times;serif" w:hAnsi="Times New Roman;Times;serif"/>
          <w:color w:val="212529"/>
          <w:spacing w:val="4"/>
          <w:sz w:val="20"/>
        </w:rPr>
        <w:t xml:space="preserve">The following table sets forth the significant segment expenses for our one </w:t>
      </w:r>
      <w:r>
        <w:rPr>
          <w:rFonts w:ascii="Times New Roman;Times;serif" w:hAnsi="Times New Roman;Times;serif"/>
          <w:sz w:val="20"/>
        </w:rPr>
        <w:t>reportable segment (in thousands):</w:t>
      </w:r>
    </w:p>
    <w:tbl>
      <w:tblPr>
        <w:tblW w:w="8777" w:type="dxa"/>
        <w:jc w:val="left"/>
        <w:tblInd w:w="0" w:type="dxa"/>
        <w:tblLayout w:type="fixed"/>
        <w:tblCellMar>
          <w:top w:w="0" w:type="dxa"/>
          <w:left w:w="0" w:type="dxa"/>
          <w:bottom w:w="0" w:type="dxa"/>
          <w:right w:w="0" w:type="dxa"/>
        </w:tblCellMar>
      </w:tblPr>
      <w:tblGrid>
        <w:gridCol w:w="3166"/>
        <w:gridCol w:w="346"/>
        <w:gridCol w:w="248"/>
        <w:gridCol w:w="815"/>
        <w:gridCol w:w="408"/>
        <w:gridCol w:w="248"/>
        <w:gridCol w:w="815"/>
        <w:gridCol w:w="346"/>
        <w:gridCol w:w="229"/>
        <w:gridCol w:w="751"/>
        <w:gridCol w:w="376"/>
        <w:gridCol w:w="229"/>
        <w:gridCol w:w="800"/>
      </w:tblGrid>
      <w:tr>
        <w:trPr/>
        <w:tc>
          <w:tcPr>
            <w:tcW w:w="31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2010410" cy="175260"/>
                      <wp:effectExtent l="0" t="0" r="0" b="0"/>
                      <wp:wrapNone/>
                      <wp:docPr id="126" name="Frame125"/>
                      <a:graphic xmlns:a="http://schemas.openxmlformats.org/drawingml/2006/main">
                        <a:graphicData uri="http://schemas.microsoft.com/office/word/2010/wordprocessingShape">
                          <wps:wsp>
                            <wps:cNvSpPr txBox="1"/>
                            <wps:spPr>
                              <a:xfrm>
                                <a:off x="0" y="0"/>
                                <a:ext cx="20104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219710" cy="175260"/>
                      <wp:effectExtent l="0" t="0" r="0" b="0"/>
                      <wp:wrapNone/>
                      <wp:docPr id="127" name="Frame12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4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157480" cy="175260"/>
                      <wp:effectExtent l="0" t="0" r="0" b="0"/>
                      <wp:wrapNone/>
                      <wp:docPr id="128" name="Frame127"/>
                      <a:graphic xmlns:a="http://schemas.openxmlformats.org/drawingml/2006/main">
                        <a:graphicData uri="http://schemas.microsoft.com/office/word/2010/wordprocessingShape">
                          <wps:wsp>
                            <wps:cNvSpPr txBox="1"/>
                            <wps:spPr>
                              <a:xfrm>
                                <a:off x="0" y="0"/>
                                <a:ext cx="15748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81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517525" cy="175260"/>
                      <wp:effectExtent l="0" t="0" r="0" b="0"/>
                      <wp:wrapNone/>
                      <wp:docPr id="129" name="Frame128"/>
                      <a:graphic xmlns:a="http://schemas.openxmlformats.org/drawingml/2006/main">
                        <a:graphicData uri="http://schemas.microsoft.com/office/word/2010/wordprocessingShape">
                          <wps:wsp>
                            <wps:cNvSpPr txBox="1"/>
                            <wps:spPr>
                              <a:xfrm>
                                <a:off x="0" y="0"/>
                                <a:ext cx="51752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40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259080" cy="175260"/>
                      <wp:effectExtent l="0" t="0" r="0" b="0"/>
                      <wp:wrapNone/>
                      <wp:docPr id="130" name="Frame129"/>
                      <a:graphic xmlns:a="http://schemas.openxmlformats.org/drawingml/2006/main">
                        <a:graphicData uri="http://schemas.microsoft.com/office/word/2010/wordprocessingShape">
                          <wps:wsp>
                            <wps:cNvSpPr txBox="1"/>
                            <wps:spPr>
                              <a:xfrm>
                                <a:off x="0" y="0"/>
                                <a:ext cx="25908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4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157480" cy="175260"/>
                      <wp:effectExtent l="0" t="0" r="0" b="0"/>
                      <wp:wrapNone/>
                      <wp:docPr id="131" name="Frame130"/>
                      <a:graphic xmlns:a="http://schemas.openxmlformats.org/drawingml/2006/main">
                        <a:graphicData uri="http://schemas.microsoft.com/office/word/2010/wordprocessingShape">
                          <wps:wsp>
                            <wps:cNvSpPr txBox="1"/>
                            <wps:spPr>
                              <a:xfrm>
                                <a:off x="0" y="0"/>
                                <a:ext cx="15748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81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517525" cy="175260"/>
                      <wp:effectExtent l="0" t="0" r="0" b="0"/>
                      <wp:wrapNone/>
                      <wp:docPr id="132" name="Frame131"/>
                      <a:graphic xmlns:a="http://schemas.openxmlformats.org/drawingml/2006/main">
                        <a:graphicData uri="http://schemas.microsoft.com/office/word/2010/wordprocessingShape">
                          <wps:wsp>
                            <wps:cNvSpPr txBox="1"/>
                            <wps:spPr>
                              <a:xfrm>
                                <a:off x="0" y="0"/>
                                <a:ext cx="51752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219710" cy="175260"/>
                      <wp:effectExtent l="0" t="0" r="0" b="0"/>
                      <wp:wrapNone/>
                      <wp:docPr id="133" name="Frame13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2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145415" cy="175260"/>
                      <wp:effectExtent l="0" t="0" r="0" b="0"/>
                      <wp:wrapNone/>
                      <wp:docPr id="134" name="Frame133"/>
                      <a:graphic xmlns:a="http://schemas.openxmlformats.org/drawingml/2006/main">
                        <a:graphicData uri="http://schemas.microsoft.com/office/word/2010/wordprocessingShape">
                          <wps:wsp>
                            <wps:cNvSpPr txBox="1"/>
                            <wps:spPr>
                              <a:xfrm>
                                <a:off x="0" y="0"/>
                                <a:ext cx="14541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7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476885" cy="175260"/>
                      <wp:effectExtent l="0" t="0" r="0" b="0"/>
                      <wp:wrapNone/>
                      <wp:docPr id="135" name="Frame134"/>
                      <a:graphic xmlns:a="http://schemas.openxmlformats.org/drawingml/2006/main">
                        <a:graphicData uri="http://schemas.microsoft.com/office/word/2010/wordprocessingShape">
                          <wps:wsp>
                            <wps:cNvSpPr txBox="1"/>
                            <wps:spPr>
                              <a:xfrm>
                                <a:off x="0" y="0"/>
                                <a:ext cx="4768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238760" cy="175260"/>
                      <wp:effectExtent l="0" t="0" r="0" b="0"/>
                      <wp:wrapNone/>
                      <wp:docPr id="136" name="Frame135"/>
                      <a:graphic xmlns:a="http://schemas.openxmlformats.org/drawingml/2006/main">
                        <a:graphicData uri="http://schemas.microsoft.com/office/word/2010/wordprocessingShape">
                          <wps:wsp>
                            <wps:cNvSpPr txBox="1"/>
                            <wps:spPr>
                              <a:xfrm>
                                <a:off x="0" y="0"/>
                                <a:ext cx="23876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2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145415" cy="175260"/>
                      <wp:effectExtent l="0" t="0" r="0" b="0"/>
                      <wp:wrapNone/>
                      <wp:docPr id="137" name="Frame136"/>
                      <a:graphic xmlns:a="http://schemas.openxmlformats.org/drawingml/2006/main">
                        <a:graphicData uri="http://schemas.microsoft.com/office/word/2010/wordprocessingShape">
                          <wps:wsp>
                            <wps:cNvSpPr txBox="1"/>
                            <wps:spPr>
                              <a:xfrm>
                                <a:off x="0" y="0"/>
                                <a:ext cx="14541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80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508000" cy="175260"/>
                      <wp:effectExtent l="0" t="0" r="0" b="0"/>
                      <wp:wrapNone/>
                      <wp:docPr id="138" name="Frame137"/>
                      <a:graphic xmlns:a="http://schemas.openxmlformats.org/drawingml/2006/main">
                        <a:graphicData uri="http://schemas.microsoft.com/office/word/2010/wordprocessingShape">
                          <wps:wsp>
                            <wps:cNvSpPr txBox="1"/>
                            <wps:spPr>
                              <a:xfrm>
                                <a:off x="0" y="0"/>
                                <a:ext cx="50800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r>
      <w:tr>
        <w:trPr/>
        <w:tc>
          <w:tcPr>
            <w:tcW w:w="3166" w:type="dxa"/>
            <w:tcBorders/>
            <w:vAlign w:val="center"/>
          </w:tcPr>
          <w:p>
            <w:pPr>
              <w:pStyle w:val="TableContents"/>
              <w:bidi w:val="0"/>
              <w:spacing w:lineRule="auto" w:line="285" w:before="0" w:after="0"/>
              <w:ind w:left="0" w:right="0" w:hanging="0"/>
              <w:jc w:val="center"/>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2534" w:type="dxa"/>
            <w:gridSpan w:val="5"/>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Three Months Ended June 30,</w:t>
            </w:r>
          </w:p>
        </w:tc>
        <w:tc>
          <w:tcPr>
            <w:tcW w:w="346"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2385" w:type="dxa"/>
            <w:gridSpan w:val="5"/>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Six Months Ended June 30,</w:t>
            </w:r>
          </w:p>
        </w:tc>
      </w:tr>
      <w:tr>
        <w:trPr/>
        <w:tc>
          <w:tcPr>
            <w:tcW w:w="3166" w:type="dxa"/>
            <w:tcBorders>
              <w:bottom w:val="single" w:sz="2" w:space="0" w:color="000000"/>
            </w:tcBorders>
            <w:tcMar>
              <w:bottom w:w="28" w:type="dxa"/>
            </w:tcMar>
            <w:vAlign w:val="center"/>
          </w:tcPr>
          <w:p>
            <w:pPr>
              <w:pStyle w:val="TableContents"/>
              <w:bidi w:val="0"/>
              <w:spacing w:lineRule="auto" w:line="285" w:before="0" w:after="0"/>
              <w:ind w:left="0" w:right="0" w:hanging="0"/>
              <w:jc w:val="center"/>
              <w:rPr/>
            </w:pPr>
            <w:r>
              <w:rPr/>
              <w:t>​</w:t>
            </w:r>
          </w:p>
        </w:tc>
        <w:tc>
          <w:tcPr>
            <w:tcW w:w="346"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1063"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2026</w:t>
            </w:r>
          </w:p>
        </w:tc>
        <w:tc>
          <w:tcPr>
            <w:tcW w:w="408"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1063"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2025</w:t>
            </w:r>
          </w:p>
        </w:tc>
        <w:tc>
          <w:tcPr>
            <w:tcW w:w="346"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980"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2026</w:t>
            </w:r>
          </w:p>
        </w:tc>
        <w:tc>
          <w:tcPr>
            <w:tcW w:w="376"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1029"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2025</w:t>
            </w:r>
          </w:p>
        </w:tc>
      </w:tr>
      <w:tr>
        <w:trPr/>
        <w:tc>
          <w:tcPr>
            <w:tcW w:w="316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Operating expenses</w:t>
            </w:r>
          </w:p>
        </w:tc>
        <w:tc>
          <w:tcPr>
            <w:tcW w:w="346" w:type="dxa"/>
            <w:tcBorders/>
            <w:shd w:fill="CCEEFF" w:val="clear"/>
            <w:vAlign w:val="center"/>
          </w:tcPr>
          <w:p>
            <w:pPr>
              <w:pStyle w:val="TableContents"/>
              <w:bidi w:val="0"/>
              <w:spacing w:lineRule="auto" w:line="285" w:before="0" w:after="0"/>
              <w:ind w:left="0" w:right="0" w:hanging="0"/>
              <w:jc w:val="left"/>
              <w:rPr/>
            </w:pPr>
            <w:r>
              <w:rPr/>
              <w:t>  ​ ​ ​</w:t>
            </w:r>
          </w:p>
        </w:tc>
        <w:tc>
          <w:tcPr>
            <w:tcW w:w="248" w:type="dxa"/>
            <w:tcBorders/>
            <w:shd w:fill="CCEEFF" w:val="clear"/>
            <w:vAlign w:val="center"/>
          </w:tcPr>
          <w:p>
            <w:pPr>
              <w:pStyle w:val="TableContents"/>
              <w:bidi w:val="0"/>
              <w:spacing w:lineRule="auto" w:line="285" w:before="0" w:after="0"/>
              <w:ind w:left="0" w:right="0" w:hanging="0"/>
              <w:jc w:val="left"/>
              <w:rPr/>
            </w:pPr>
            <w:r>
              <w:rPr/>
              <w:t>​</w:t>
            </w:r>
          </w:p>
        </w:tc>
        <w:tc>
          <w:tcPr>
            <w:tcW w:w="815" w:type="dxa"/>
            <w:tcBorders/>
            <w:shd w:fill="CCEEFF" w:val="clear"/>
            <w:vAlign w:val="center"/>
          </w:tcPr>
          <w:p>
            <w:pPr>
              <w:pStyle w:val="TableContents"/>
              <w:bidi w:val="0"/>
              <w:spacing w:lineRule="auto" w:line="285" w:before="0" w:after="0"/>
              <w:ind w:left="0" w:right="0" w:hanging="0"/>
              <w:jc w:val="left"/>
              <w:rPr/>
            </w:pPr>
            <w:r>
              <w:rPr/>
              <w:t>​</w:t>
            </w:r>
          </w:p>
        </w:tc>
        <w:tc>
          <w:tcPr>
            <w:tcW w:w="408" w:type="dxa"/>
            <w:tcBorders/>
            <w:shd w:fill="CCEEFF" w:val="clear"/>
            <w:vAlign w:val="center"/>
          </w:tcPr>
          <w:p>
            <w:pPr>
              <w:pStyle w:val="TableContents"/>
              <w:bidi w:val="0"/>
              <w:spacing w:lineRule="auto" w:line="285" w:before="0" w:after="0"/>
              <w:ind w:left="0" w:right="0" w:hanging="0"/>
              <w:jc w:val="left"/>
              <w:rPr/>
            </w:pPr>
            <w:r>
              <w:rPr/>
              <w:t>  ​ ​ ​</w:t>
            </w:r>
          </w:p>
        </w:tc>
        <w:tc>
          <w:tcPr>
            <w:tcW w:w="248" w:type="dxa"/>
            <w:tcBorders/>
            <w:shd w:fill="CCEEFF" w:val="clear"/>
            <w:vAlign w:val="center"/>
          </w:tcPr>
          <w:p>
            <w:pPr>
              <w:pStyle w:val="TableContents"/>
              <w:bidi w:val="0"/>
              <w:spacing w:lineRule="auto" w:line="285" w:before="0" w:after="0"/>
              <w:ind w:left="0" w:right="0" w:hanging="0"/>
              <w:jc w:val="left"/>
              <w:rPr/>
            </w:pPr>
            <w:r>
              <w:rPr/>
              <w:t>​</w:t>
            </w:r>
          </w:p>
        </w:tc>
        <w:tc>
          <w:tcPr>
            <w:tcW w:w="815" w:type="dxa"/>
            <w:tcBorders/>
            <w:shd w:fill="CCEEFF" w:val="clear"/>
            <w:vAlign w:val="center"/>
          </w:tcPr>
          <w:p>
            <w:pPr>
              <w:pStyle w:val="TableContents"/>
              <w:bidi w:val="0"/>
              <w:spacing w:lineRule="auto" w:line="285" w:before="0" w:after="0"/>
              <w:ind w:left="0" w:right="0" w:hanging="0"/>
              <w:jc w:val="lef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  ​ ​ ​</w:t>
            </w:r>
          </w:p>
        </w:tc>
        <w:tc>
          <w:tcPr>
            <w:tcW w:w="229" w:type="dxa"/>
            <w:tcBorders/>
            <w:shd w:fill="CCEEFF" w:val="clear"/>
            <w:vAlign w:val="center"/>
          </w:tcPr>
          <w:p>
            <w:pPr>
              <w:pStyle w:val="TableContents"/>
              <w:bidi w:val="0"/>
              <w:spacing w:lineRule="auto" w:line="285" w:before="0" w:after="0"/>
              <w:ind w:left="0" w:right="0" w:hanging="0"/>
              <w:jc w:val="left"/>
              <w:rPr/>
            </w:pPr>
            <w:r>
              <w:rPr/>
              <w:t>​</w:t>
            </w:r>
          </w:p>
        </w:tc>
        <w:tc>
          <w:tcPr>
            <w:tcW w:w="751" w:type="dxa"/>
            <w:tcBorders/>
            <w:shd w:fill="CCEEFF" w:val="clear"/>
            <w:vAlign w:val="center"/>
          </w:tcPr>
          <w:p>
            <w:pPr>
              <w:pStyle w:val="TableContents"/>
              <w:bidi w:val="0"/>
              <w:spacing w:lineRule="auto" w:line="285" w:before="0" w:after="0"/>
              <w:ind w:left="0" w:right="0" w:hanging="0"/>
              <w:jc w:val="left"/>
              <w:rPr/>
            </w:pPr>
            <w:r>
              <w:rPr/>
              <w:t>​</w:t>
            </w:r>
          </w:p>
        </w:tc>
        <w:tc>
          <w:tcPr>
            <w:tcW w:w="376" w:type="dxa"/>
            <w:tcBorders/>
            <w:shd w:fill="CCEEFF" w:val="clear"/>
            <w:vAlign w:val="center"/>
          </w:tcPr>
          <w:p>
            <w:pPr>
              <w:pStyle w:val="TableContents"/>
              <w:bidi w:val="0"/>
              <w:spacing w:lineRule="auto" w:line="285" w:before="0" w:after="0"/>
              <w:ind w:left="0" w:right="0" w:hanging="0"/>
              <w:jc w:val="left"/>
              <w:rPr/>
            </w:pPr>
            <w:r>
              <w:rPr/>
              <w:t>  ​ ​ ​</w:t>
            </w:r>
          </w:p>
        </w:tc>
        <w:tc>
          <w:tcPr>
            <w:tcW w:w="229" w:type="dxa"/>
            <w:tcBorders/>
            <w:shd w:fill="CCEEFF" w:val="clear"/>
            <w:vAlign w:val="center"/>
          </w:tcPr>
          <w:p>
            <w:pPr>
              <w:pStyle w:val="TableContents"/>
              <w:bidi w:val="0"/>
              <w:spacing w:lineRule="auto" w:line="285" w:before="0" w:after="0"/>
              <w:ind w:left="0" w:right="0" w:hanging="0"/>
              <w:jc w:val="left"/>
              <w:rPr/>
            </w:pPr>
            <w:r>
              <w:rPr/>
              <w:t>​</w:t>
            </w:r>
          </w:p>
        </w:tc>
        <w:tc>
          <w:tcPr>
            <w:tcW w:w="800" w:type="dxa"/>
            <w:tcBorders/>
            <w:shd w:fill="CCEEFF" w:val="clear"/>
            <w:vAlign w:val="center"/>
          </w:tcPr>
          <w:p>
            <w:pPr>
              <w:pStyle w:val="TableContents"/>
              <w:bidi w:val="0"/>
              <w:spacing w:lineRule="auto" w:line="285" w:before="0" w:after="0"/>
              <w:ind w:left="0" w:right="0" w:hanging="0"/>
              <w:jc w:val="left"/>
              <w:rPr/>
            </w:pPr>
            <w:r>
              <w:rPr/>
              <w:t>​</w:t>
            </w:r>
          </w:p>
        </w:tc>
      </w:tr>
      <w:tr>
        <w:trPr/>
        <w:tc>
          <w:tcPr>
            <w:tcW w:w="3166"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Research and development</w:t>
            </w:r>
          </w:p>
        </w:tc>
        <w:tc>
          <w:tcPr>
            <w:tcW w:w="346" w:type="dxa"/>
            <w:tcBorders/>
            <w:vAlign w:val="center"/>
          </w:tcPr>
          <w:p>
            <w:pPr>
              <w:pStyle w:val="TableContents"/>
              <w:bidi w:val="0"/>
              <w:spacing w:lineRule="auto" w:line="285" w:before="0" w:after="0"/>
              <w:ind w:left="0" w:right="0" w:hanging="0"/>
              <w:jc w:val="left"/>
              <w:rPr/>
            </w:pPr>
            <w:r>
              <w:rPr/>
              <w:t>​</w:t>
            </w:r>
          </w:p>
        </w:tc>
        <w:tc>
          <w:tcPr>
            <w:tcW w:w="248" w:type="dxa"/>
            <w:tcBorders/>
            <w:vAlign w:val="center"/>
          </w:tcPr>
          <w:p>
            <w:pPr>
              <w:pStyle w:val="TableContents"/>
              <w:bidi w:val="0"/>
              <w:spacing w:lineRule="auto" w:line="285" w:before="0" w:after="0"/>
              <w:ind w:left="0" w:right="0" w:hanging="0"/>
              <w:jc w:val="left"/>
              <w:rPr/>
            </w:pPr>
            <w:r>
              <w:rPr/>
              <w:t>​</w:t>
            </w:r>
          </w:p>
        </w:tc>
        <w:tc>
          <w:tcPr>
            <w:tcW w:w="815" w:type="dxa"/>
            <w:tcBorders/>
            <w:vAlign w:val="center"/>
          </w:tcPr>
          <w:p>
            <w:pPr>
              <w:pStyle w:val="TableContents"/>
              <w:bidi w:val="0"/>
              <w:spacing w:lineRule="auto" w:line="285" w:before="0" w:after="0"/>
              <w:ind w:left="0" w:right="0" w:hanging="0"/>
              <w:jc w:val="left"/>
              <w:rPr/>
            </w:pPr>
            <w:r>
              <w:rPr/>
              <w:t>​</w:t>
            </w:r>
          </w:p>
        </w:tc>
        <w:tc>
          <w:tcPr>
            <w:tcW w:w="408" w:type="dxa"/>
            <w:tcBorders/>
            <w:vAlign w:val="center"/>
          </w:tcPr>
          <w:p>
            <w:pPr>
              <w:pStyle w:val="TableContents"/>
              <w:bidi w:val="0"/>
              <w:spacing w:lineRule="auto" w:line="285" w:before="0" w:after="0"/>
              <w:ind w:left="0" w:right="0" w:hanging="0"/>
              <w:jc w:val="left"/>
              <w:rPr/>
            </w:pPr>
            <w:r>
              <w:rPr/>
              <w:t>  ​ ​ ​</w:t>
            </w:r>
          </w:p>
        </w:tc>
        <w:tc>
          <w:tcPr>
            <w:tcW w:w="248" w:type="dxa"/>
            <w:tcBorders/>
            <w:vAlign w:val="center"/>
          </w:tcPr>
          <w:p>
            <w:pPr>
              <w:pStyle w:val="TableContents"/>
              <w:bidi w:val="0"/>
              <w:spacing w:lineRule="auto" w:line="285" w:before="0" w:after="0"/>
              <w:ind w:left="0" w:right="0" w:hanging="0"/>
              <w:jc w:val="left"/>
              <w:rPr/>
            </w:pPr>
            <w:r>
              <w:rPr/>
              <w:t>​</w:t>
            </w:r>
          </w:p>
        </w:tc>
        <w:tc>
          <w:tcPr>
            <w:tcW w:w="815"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229" w:type="dxa"/>
            <w:tcBorders/>
            <w:vAlign w:val="center"/>
          </w:tcPr>
          <w:p>
            <w:pPr>
              <w:pStyle w:val="TableContents"/>
              <w:bidi w:val="0"/>
              <w:spacing w:lineRule="auto" w:line="285" w:before="0" w:after="0"/>
              <w:ind w:left="0" w:right="0" w:hanging="0"/>
              <w:jc w:val="left"/>
              <w:rPr/>
            </w:pPr>
            <w:r>
              <w:rPr/>
              <w:t>​</w:t>
            </w:r>
          </w:p>
        </w:tc>
        <w:tc>
          <w:tcPr>
            <w:tcW w:w="751" w:type="dxa"/>
            <w:tcBorders/>
            <w:vAlign w:val="center"/>
          </w:tcPr>
          <w:p>
            <w:pPr>
              <w:pStyle w:val="TableContents"/>
              <w:bidi w:val="0"/>
              <w:spacing w:lineRule="auto" w:line="285" w:before="0" w:after="0"/>
              <w:ind w:left="0" w:right="0" w:hanging="0"/>
              <w:jc w:val="right"/>
              <w:rPr/>
            </w:pPr>
            <w:r>
              <w:rPr/>
              <w:t>​</w:t>
            </w:r>
          </w:p>
        </w:tc>
        <w:tc>
          <w:tcPr>
            <w:tcW w:w="376" w:type="dxa"/>
            <w:tcBorders/>
            <w:vAlign w:val="center"/>
          </w:tcPr>
          <w:p>
            <w:pPr>
              <w:pStyle w:val="TableContents"/>
              <w:bidi w:val="0"/>
              <w:spacing w:lineRule="auto" w:line="285" w:before="0" w:after="0"/>
              <w:ind w:left="0" w:right="0" w:hanging="0"/>
              <w:jc w:val="left"/>
              <w:rPr/>
            </w:pPr>
            <w:r>
              <w:rPr/>
              <w:t>​</w:t>
            </w:r>
          </w:p>
        </w:tc>
        <w:tc>
          <w:tcPr>
            <w:tcW w:w="229" w:type="dxa"/>
            <w:tcBorders/>
            <w:vAlign w:val="center"/>
          </w:tcPr>
          <w:p>
            <w:pPr>
              <w:pStyle w:val="TableContents"/>
              <w:bidi w:val="0"/>
              <w:spacing w:lineRule="auto" w:line="285" w:before="0" w:after="0"/>
              <w:ind w:left="0" w:right="0" w:hanging="0"/>
              <w:jc w:val="left"/>
              <w:rPr/>
            </w:pPr>
            <w:r>
              <w:rPr/>
              <w:t>​</w:t>
            </w:r>
          </w:p>
        </w:tc>
        <w:tc>
          <w:tcPr>
            <w:tcW w:w="800" w:type="dxa"/>
            <w:tcBorders/>
            <w:vAlign w:val="center"/>
          </w:tcPr>
          <w:p>
            <w:pPr>
              <w:pStyle w:val="TableContents"/>
              <w:bidi w:val="0"/>
              <w:spacing w:lineRule="auto" w:line="285" w:before="0" w:after="0"/>
              <w:ind w:left="0" w:right="0" w:hanging="0"/>
              <w:jc w:val="left"/>
              <w:rPr/>
            </w:pPr>
            <w:r>
              <w:rPr/>
              <w:t>​</w:t>
            </w:r>
          </w:p>
        </w:tc>
      </w:tr>
      <w:tr>
        <w:trPr/>
        <w:tc>
          <w:tcPr>
            <w:tcW w:w="316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Direct costs</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48" w:type="dxa"/>
            <w:tcBorders/>
            <w:shd w:fill="CCEEFF" w:val="clear"/>
            <w:vAlign w:val="center"/>
          </w:tcPr>
          <w:p>
            <w:pPr>
              <w:pStyle w:val="TableContents"/>
              <w:bidi w:val="0"/>
              <w:spacing w:lineRule="auto" w:line="285" w:before="0" w:after="0"/>
              <w:ind w:left="0" w:right="0" w:hanging="0"/>
              <w:jc w:val="left"/>
              <w:rPr/>
            </w:pPr>
            <w:r>
              <w:rPr/>
              <w:t>​</w:t>
            </w:r>
          </w:p>
        </w:tc>
        <w:tc>
          <w:tcPr>
            <w:tcW w:w="815" w:type="dxa"/>
            <w:tcBorders/>
            <w:shd w:fill="CCEEFF" w:val="clear"/>
            <w:vAlign w:val="center"/>
          </w:tcPr>
          <w:p>
            <w:pPr>
              <w:pStyle w:val="TableContents"/>
              <w:bidi w:val="0"/>
              <w:spacing w:lineRule="auto" w:line="285" w:before="0" w:after="0"/>
              <w:ind w:left="0" w:right="0" w:hanging="0"/>
              <w:jc w:val="right"/>
              <w:rPr/>
            </w:pPr>
            <w:r>
              <w:rPr/>
              <w:t>​</w:t>
            </w:r>
          </w:p>
        </w:tc>
        <w:tc>
          <w:tcPr>
            <w:tcW w:w="408" w:type="dxa"/>
            <w:tcBorders/>
            <w:shd w:fill="CCEEFF" w:val="clear"/>
            <w:vAlign w:val="center"/>
          </w:tcPr>
          <w:p>
            <w:pPr>
              <w:pStyle w:val="TableContents"/>
              <w:bidi w:val="0"/>
              <w:spacing w:lineRule="auto" w:line="285" w:before="0" w:after="0"/>
              <w:ind w:left="0" w:right="0" w:hanging="0"/>
              <w:jc w:val="left"/>
              <w:rPr/>
            </w:pPr>
            <w:r>
              <w:rPr/>
              <w:t>​</w:t>
            </w:r>
          </w:p>
        </w:tc>
        <w:tc>
          <w:tcPr>
            <w:tcW w:w="248" w:type="dxa"/>
            <w:tcBorders/>
            <w:shd w:fill="CCEEFF" w:val="clear"/>
            <w:vAlign w:val="center"/>
          </w:tcPr>
          <w:p>
            <w:pPr>
              <w:pStyle w:val="TableContents"/>
              <w:bidi w:val="0"/>
              <w:spacing w:lineRule="auto" w:line="285" w:before="0" w:after="0"/>
              <w:ind w:left="0" w:right="0" w:hanging="0"/>
              <w:jc w:val="left"/>
              <w:rPr/>
            </w:pPr>
            <w:r>
              <w:rPr/>
              <w:t>​</w:t>
            </w:r>
          </w:p>
        </w:tc>
        <w:tc>
          <w:tcPr>
            <w:tcW w:w="815" w:type="dxa"/>
            <w:tcBorders/>
            <w:shd w:fill="CCEEFF" w:val="clear"/>
            <w:vAlign w:val="center"/>
          </w:tcPr>
          <w:p>
            <w:pPr>
              <w:pStyle w:val="TableContents"/>
              <w:bidi w:val="0"/>
              <w:spacing w:lineRule="auto" w:line="285" w:before="0" w:after="0"/>
              <w:ind w:left="0" w:right="0" w:hanging="0"/>
              <w:jc w:val="righ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29" w:type="dxa"/>
            <w:tcBorders/>
            <w:shd w:fill="CCEEFF" w:val="clear"/>
            <w:vAlign w:val="center"/>
          </w:tcPr>
          <w:p>
            <w:pPr>
              <w:pStyle w:val="TableContents"/>
              <w:bidi w:val="0"/>
              <w:spacing w:lineRule="auto" w:line="285" w:before="0" w:after="0"/>
              <w:ind w:left="0" w:right="0" w:hanging="0"/>
              <w:jc w:val="left"/>
              <w:rPr/>
            </w:pPr>
            <w:r>
              <w:rPr/>
              <w:t>​</w:t>
            </w:r>
          </w:p>
        </w:tc>
        <w:tc>
          <w:tcPr>
            <w:tcW w:w="751" w:type="dxa"/>
            <w:tcBorders/>
            <w:shd w:fill="CCEEFF" w:val="clear"/>
            <w:vAlign w:val="center"/>
          </w:tcPr>
          <w:p>
            <w:pPr>
              <w:pStyle w:val="TableContents"/>
              <w:bidi w:val="0"/>
              <w:spacing w:lineRule="auto" w:line="285" w:before="0" w:after="0"/>
              <w:ind w:left="0" w:right="0" w:hanging="0"/>
              <w:jc w:val="right"/>
              <w:rPr/>
            </w:pPr>
            <w:r>
              <w:rPr/>
              <w:t>​</w:t>
            </w:r>
          </w:p>
        </w:tc>
        <w:tc>
          <w:tcPr>
            <w:tcW w:w="376" w:type="dxa"/>
            <w:tcBorders/>
            <w:shd w:fill="CCEEFF" w:val="clear"/>
            <w:vAlign w:val="center"/>
          </w:tcPr>
          <w:p>
            <w:pPr>
              <w:pStyle w:val="TableContents"/>
              <w:bidi w:val="0"/>
              <w:spacing w:lineRule="auto" w:line="285" w:before="0" w:after="0"/>
              <w:ind w:left="0" w:right="0" w:hanging="0"/>
              <w:jc w:val="left"/>
              <w:rPr/>
            </w:pPr>
            <w:r>
              <w:rPr/>
              <w:t>​</w:t>
            </w:r>
          </w:p>
        </w:tc>
        <w:tc>
          <w:tcPr>
            <w:tcW w:w="229" w:type="dxa"/>
            <w:tcBorders/>
            <w:shd w:fill="CCEEFF" w:val="clear"/>
            <w:vAlign w:val="center"/>
          </w:tcPr>
          <w:p>
            <w:pPr>
              <w:pStyle w:val="TableContents"/>
              <w:bidi w:val="0"/>
              <w:spacing w:lineRule="auto" w:line="285" w:before="0" w:after="0"/>
              <w:ind w:left="0" w:right="0" w:hanging="0"/>
              <w:jc w:val="left"/>
              <w:rPr/>
            </w:pPr>
            <w:r>
              <w:rPr/>
              <w:t>​</w:t>
            </w:r>
          </w:p>
        </w:tc>
        <w:tc>
          <w:tcPr>
            <w:tcW w:w="800" w:type="dxa"/>
            <w:tcBorders/>
            <w:shd w:fill="CCEEFF" w:val="clear"/>
            <w:vAlign w:val="center"/>
          </w:tcPr>
          <w:p>
            <w:pPr>
              <w:pStyle w:val="TableContents"/>
              <w:bidi w:val="0"/>
              <w:spacing w:lineRule="auto" w:line="285" w:before="0" w:after="0"/>
              <w:ind w:left="0" w:right="0" w:hanging="0"/>
              <w:jc w:val="left"/>
              <w:rPr/>
            </w:pPr>
            <w:r>
              <w:rPr/>
              <w:t>​</w:t>
            </w:r>
          </w:p>
        </w:tc>
      </w:tr>
      <w:tr>
        <w:trPr/>
        <w:tc>
          <w:tcPr>
            <w:tcW w:w="3166"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Vanoglipel</w:t>
            </w:r>
          </w:p>
        </w:tc>
        <w:tc>
          <w:tcPr>
            <w:tcW w:w="346" w:type="dxa"/>
            <w:tcBorders/>
            <w:vAlign w:val="center"/>
          </w:tcPr>
          <w:p>
            <w:pPr>
              <w:pStyle w:val="TableContents"/>
              <w:bidi w:val="0"/>
              <w:spacing w:lineRule="auto" w:line="285" w:before="0" w:after="0"/>
              <w:ind w:left="0" w:right="0" w:hanging="0"/>
              <w:jc w:val="left"/>
              <w:rPr/>
            </w:pPr>
            <w:r>
              <w:rPr/>
              <w:t>​</w:t>
            </w:r>
          </w:p>
        </w:tc>
        <w:tc>
          <w:tcPr>
            <w:tcW w:w="248"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15"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235</w:t>
            </w:r>
          </w:p>
        </w:tc>
        <w:tc>
          <w:tcPr>
            <w:tcW w:w="408" w:type="dxa"/>
            <w:tcBorders/>
            <w:vAlign w:val="center"/>
          </w:tcPr>
          <w:p>
            <w:pPr>
              <w:pStyle w:val="TableContents"/>
              <w:bidi w:val="0"/>
              <w:spacing w:lineRule="auto" w:line="285" w:before="0" w:after="0"/>
              <w:ind w:left="0" w:right="0" w:hanging="0"/>
              <w:jc w:val="left"/>
              <w:rPr/>
            </w:pPr>
            <w:r>
              <w:rPr/>
              <w:t>​</w:t>
            </w:r>
          </w:p>
        </w:tc>
        <w:tc>
          <w:tcPr>
            <w:tcW w:w="248"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15"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277</w:t>
            </w:r>
          </w:p>
        </w:tc>
        <w:tc>
          <w:tcPr>
            <w:tcW w:w="346" w:type="dxa"/>
            <w:tcBorders/>
            <w:vAlign w:val="center"/>
          </w:tcPr>
          <w:p>
            <w:pPr>
              <w:pStyle w:val="TableContents"/>
              <w:bidi w:val="0"/>
              <w:spacing w:lineRule="auto" w:line="285" w:before="0" w:after="0"/>
              <w:ind w:left="0" w:right="0" w:hanging="0"/>
              <w:jc w:val="left"/>
              <w:rPr/>
            </w:pPr>
            <w:r>
              <w:rPr/>
              <w:t>​</w:t>
            </w:r>
          </w:p>
        </w:tc>
        <w:tc>
          <w:tcPr>
            <w:tcW w:w="229"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51"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402</w:t>
            </w:r>
          </w:p>
        </w:tc>
        <w:tc>
          <w:tcPr>
            <w:tcW w:w="376" w:type="dxa"/>
            <w:tcBorders/>
            <w:vAlign w:val="center"/>
          </w:tcPr>
          <w:p>
            <w:pPr>
              <w:pStyle w:val="TableContents"/>
              <w:bidi w:val="0"/>
              <w:spacing w:lineRule="auto" w:line="285" w:before="0" w:after="0"/>
              <w:ind w:left="0" w:right="0" w:hanging="0"/>
              <w:jc w:val="left"/>
              <w:rPr/>
            </w:pPr>
            <w:r>
              <w:rPr/>
              <w:t>​</w:t>
            </w:r>
          </w:p>
        </w:tc>
        <w:tc>
          <w:tcPr>
            <w:tcW w:w="229"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00"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568</w:t>
            </w:r>
          </w:p>
        </w:tc>
      </w:tr>
      <w:tr>
        <w:trPr/>
        <w:tc>
          <w:tcPr>
            <w:tcW w:w="316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DA-1726</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48" w:type="dxa"/>
            <w:tcBorders/>
            <w:shd w:fill="CCEEFF" w:val="clear"/>
            <w:vAlign w:val="center"/>
          </w:tcPr>
          <w:p>
            <w:pPr>
              <w:pStyle w:val="TableContents"/>
              <w:bidi w:val="0"/>
              <w:spacing w:lineRule="auto" w:line="285" w:before="0" w:after="0"/>
              <w:ind w:left="0" w:right="0" w:hanging="0"/>
              <w:jc w:val="left"/>
              <w:rPr/>
            </w:pPr>
            <w:r>
              <w:rPr/>
              <w:t>​</w:t>
            </w:r>
          </w:p>
        </w:tc>
        <w:tc>
          <w:tcPr>
            <w:tcW w:w="815"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2,717</w:t>
            </w:r>
          </w:p>
        </w:tc>
        <w:tc>
          <w:tcPr>
            <w:tcW w:w="408" w:type="dxa"/>
            <w:tcBorders/>
            <w:shd w:fill="CCEEFF" w:val="clear"/>
            <w:vAlign w:val="center"/>
          </w:tcPr>
          <w:p>
            <w:pPr>
              <w:pStyle w:val="TableContents"/>
              <w:bidi w:val="0"/>
              <w:spacing w:lineRule="auto" w:line="285" w:before="0" w:after="0"/>
              <w:ind w:left="0" w:right="0" w:hanging="0"/>
              <w:jc w:val="left"/>
              <w:rPr/>
            </w:pPr>
            <w:r>
              <w:rPr/>
              <w:t>​</w:t>
            </w:r>
          </w:p>
        </w:tc>
        <w:tc>
          <w:tcPr>
            <w:tcW w:w="248" w:type="dxa"/>
            <w:tcBorders/>
            <w:shd w:fill="CCEEFF" w:val="clear"/>
            <w:vAlign w:val="center"/>
          </w:tcPr>
          <w:p>
            <w:pPr>
              <w:pStyle w:val="TableContents"/>
              <w:bidi w:val="0"/>
              <w:spacing w:lineRule="auto" w:line="285" w:before="0" w:after="0"/>
              <w:ind w:left="0" w:right="0" w:hanging="0"/>
              <w:jc w:val="left"/>
              <w:rPr/>
            </w:pPr>
            <w:r>
              <w:rPr/>
              <w:t>​</w:t>
            </w:r>
          </w:p>
        </w:tc>
        <w:tc>
          <w:tcPr>
            <w:tcW w:w="815"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1,529</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29" w:type="dxa"/>
            <w:tcBorders/>
            <w:shd w:fill="CCEEFF" w:val="clear"/>
            <w:vAlign w:val="center"/>
          </w:tcPr>
          <w:p>
            <w:pPr>
              <w:pStyle w:val="TableContents"/>
              <w:bidi w:val="0"/>
              <w:spacing w:lineRule="auto" w:line="285" w:before="0" w:after="0"/>
              <w:ind w:left="0" w:right="0" w:hanging="0"/>
              <w:jc w:val="left"/>
              <w:rPr/>
            </w:pPr>
            <w:r>
              <w:rPr/>
              <w:t>​</w:t>
            </w:r>
          </w:p>
        </w:tc>
        <w:tc>
          <w:tcPr>
            <w:tcW w:w="75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4,164</w:t>
            </w:r>
          </w:p>
        </w:tc>
        <w:tc>
          <w:tcPr>
            <w:tcW w:w="376" w:type="dxa"/>
            <w:tcBorders/>
            <w:shd w:fill="CCEEFF" w:val="clear"/>
            <w:vAlign w:val="center"/>
          </w:tcPr>
          <w:p>
            <w:pPr>
              <w:pStyle w:val="TableContents"/>
              <w:bidi w:val="0"/>
              <w:spacing w:lineRule="auto" w:line="285" w:before="0" w:after="0"/>
              <w:ind w:left="0" w:right="0" w:hanging="0"/>
              <w:jc w:val="left"/>
              <w:rPr/>
            </w:pPr>
            <w:r>
              <w:rPr/>
              <w:t>​</w:t>
            </w:r>
          </w:p>
        </w:tc>
        <w:tc>
          <w:tcPr>
            <w:tcW w:w="229" w:type="dxa"/>
            <w:tcBorders/>
            <w:shd w:fill="CCEEFF" w:val="clear"/>
            <w:vAlign w:val="center"/>
          </w:tcPr>
          <w:p>
            <w:pPr>
              <w:pStyle w:val="TableContents"/>
              <w:bidi w:val="0"/>
              <w:spacing w:lineRule="auto" w:line="285" w:before="0" w:after="0"/>
              <w:ind w:left="0" w:right="0" w:hanging="0"/>
              <w:jc w:val="left"/>
              <w:rPr/>
            </w:pPr>
            <w:r>
              <w:rPr/>
              <w:t>​</w:t>
            </w:r>
          </w:p>
        </w:tc>
        <w:tc>
          <w:tcPr>
            <w:tcW w:w="800"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3,008</w:t>
            </w:r>
          </w:p>
        </w:tc>
      </w:tr>
      <w:tr>
        <w:trPr/>
        <w:tc>
          <w:tcPr>
            <w:tcW w:w="3166" w:type="dxa"/>
            <w:tcBorders/>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 xml:space="preserve">Other R&amp;D </w:t>
            </w:r>
            <w:r>
              <w:rPr>
                <w:rFonts w:ascii="Times New Roman;Times;serif" w:hAnsi="Times New Roman;Times;serif"/>
                <w:sz w:val="15"/>
              </w:rPr>
              <w:t>(1)</w:t>
            </w:r>
          </w:p>
        </w:tc>
        <w:tc>
          <w:tcPr>
            <w:tcW w:w="346" w:type="dxa"/>
            <w:tcBorders/>
            <w:vAlign w:val="center"/>
          </w:tcPr>
          <w:p>
            <w:pPr>
              <w:pStyle w:val="TableContents"/>
              <w:bidi w:val="0"/>
              <w:spacing w:lineRule="auto" w:line="285" w:before="0" w:after="0"/>
              <w:ind w:left="0" w:right="0" w:hanging="0"/>
              <w:jc w:val="left"/>
              <w:rPr/>
            </w:pPr>
            <w:r>
              <w:rPr/>
              <w:t>​</w:t>
            </w:r>
          </w:p>
        </w:tc>
        <w:tc>
          <w:tcPr>
            <w:tcW w:w="248" w:type="dxa"/>
            <w:tcBorders/>
            <w:vAlign w:val="center"/>
          </w:tcPr>
          <w:p>
            <w:pPr>
              <w:pStyle w:val="TableContents"/>
              <w:bidi w:val="0"/>
              <w:spacing w:lineRule="auto" w:line="285" w:before="0" w:after="0"/>
              <w:ind w:left="0" w:right="0" w:hanging="0"/>
              <w:jc w:val="left"/>
              <w:rPr/>
            </w:pPr>
            <w:r>
              <w:rPr/>
              <w:t>​</w:t>
            </w:r>
          </w:p>
        </w:tc>
        <w:tc>
          <w:tcPr>
            <w:tcW w:w="815"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40</w:t>
            </w:r>
          </w:p>
        </w:tc>
        <w:tc>
          <w:tcPr>
            <w:tcW w:w="408" w:type="dxa"/>
            <w:tcBorders/>
            <w:vAlign w:val="center"/>
          </w:tcPr>
          <w:p>
            <w:pPr>
              <w:pStyle w:val="TableContents"/>
              <w:bidi w:val="0"/>
              <w:spacing w:lineRule="auto" w:line="285" w:before="0" w:after="0"/>
              <w:ind w:left="0" w:right="0" w:hanging="0"/>
              <w:jc w:val="left"/>
              <w:rPr/>
            </w:pPr>
            <w:r>
              <w:rPr/>
              <w:t>​</w:t>
            </w:r>
          </w:p>
        </w:tc>
        <w:tc>
          <w:tcPr>
            <w:tcW w:w="248" w:type="dxa"/>
            <w:tcBorders/>
            <w:vAlign w:val="center"/>
          </w:tcPr>
          <w:p>
            <w:pPr>
              <w:pStyle w:val="TableContents"/>
              <w:bidi w:val="0"/>
              <w:spacing w:lineRule="auto" w:line="285" w:before="0" w:after="0"/>
              <w:ind w:left="0" w:right="0" w:hanging="0"/>
              <w:jc w:val="left"/>
              <w:rPr/>
            </w:pPr>
            <w:r>
              <w:rPr/>
              <w:t>​</w:t>
            </w:r>
          </w:p>
        </w:tc>
        <w:tc>
          <w:tcPr>
            <w:tcW w:w="815"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30</w:t>
            </w:r>
          </w:p>
        </w:tc>
        <w:tc>
          <w:tcPr>
            <w:tcW w:w="346" w:type="dxa"/>
            <w:tcBorders/>
            <w:vAlign w:val="center"/>
          </w:tcPr>
          <w:p>
            <w:pPr>
              <w:pStyle w:val="TableContents"/>
              <w:bidi w:val="0"/>
              <w:spacing w:lineRule="auto" w:line="285" w:before="0" w:after="0"/>
              <w:ind w:left="0" w:right="0" w:hanging="0"/>
              <w:jc w:val="left"/>
              <w:rPr/>
            </w:pPr>
            <w:r>
              <w:rPr/>
              <w:t>​</w:t>
            </w:r>
          </w:p>
        </w:tc>
        <w:tc>
          <w:tcPr>
            <w:tcW w:w="229" w:type="dxa"/>
            <w:tcBorders/>
            <w:vAlign w:val="center"/>
          </w:tcPr>
          <w:p>
            <w:pPr>
              <w:pStyle w:val="TableContents"/>
              <w:bidi w:val="0"/>
              <w:spacing w:lineRule="auto" w:line="285" w:before="0" w:after="0"/>
              <w:ind w:left="0" w:right="0" w:hanging="0"/>
              <w:jc w:val="left"/>
              <w:rPr/>
            </w:pPr>
            <w:r>
              <w:rPr/>
              <w:t>​</w:t>
            </w:r>
          </w:p>
        </w:tc>
        <w:tc>
          <w:tcPr>
            <w:tcW w:w="751"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53</w:t>
            </w:r>
          </w:p>
        </w:tc>
        <w:tc>
          <w:tcPr>
            <w:tcW w:w="376" w:type="dxa"/>
            <w:tcBorders/>
            <w:vAlign w:val="center"/>
          </w:tcPr>
          <w:p>
            <w:pPr>
              <w:pStyle w:val="TableContents"/>
              <w:bidi w:val="0"/>
              <w:spacing w:lineRule="auto" w:line="285" w:before="0" w:after="0"/>
              <w:ind w:left="0" w:right="0" w:hanging="0"/>
              <w:jc w:val="left"/>
              <w:rPr/>
            </w:pPr>
            <w:r>
              <w:rPr/>
              <w:t>​</w:t>
            </w:r>
          </w:p>
        </w:tc>
        <w:tc>
          <w:tcPr>
            <w:tcW w:w="229" w:type="dxa"/>
            <w:tcBorders/>
            <w:vAlign w:val="center"/>
          </w:tcPr>
          <w:p>
            <w:pPr>
              <w:pStyle w:val="TableContents"/>
              <w:bidi w:val="0"/>
              <w:spacing w:lineRule="auto" w:line="285" w:before="0" w:after="0"/>
              <w:ind w:left="0" w:right="0" w:hanging="0"/>
              <w:jc w:val="left"/>
              <w:rPr/>
            </w:pPr>
            <w:r>
              <w:rPr/>
              <w:t>​</w:t>
            </w:r>
          </w:p>
        </w:tc>
        <w:tc>
          <w:tcPr>
            <w:tcW w:w="800"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55</w:t>
            </w:r>
          </w:p>
        </w:tc>
      </w:tr>
      <w:tr>
        <w:trPr/>
        <w:tc>
          <w:tcPr>
            <w:tcW w:w="316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Indirect costs</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48" w:type="dxa"/>
            <w:tcBorders/>
            <w:shd w:fill="CCEEFF" w:val="clear"/>
            <w:vAlign w:val="center"/>
          </w:tcPr>
          <w:p>
            <w:pPr>
              <w:pStyle w:val="TableContents"/>
              <w:bidi w:val="0"/>
              <w:spacing w:lineRule="auto" w:line="285" w:before="0" w:after="0"/>
              <w:ind w:left="0" w:right="0" w:hanging="0"/>
              <w:jc w:val="left"/>
              <w:rPr/>
            </w:pPr>
            <w:r>
              <w:rPr/>
              <w:t>​</w:t>
            </w:r>
          </w:p>
        </w:tc>
        <w:tc>
          <w:tcPr>
            <w:tcW w:w="815" w:type="dxa"/>
            <w:tcBorders/>
            <w:shd w:fill="CCEEFF" w:val="clear"/>
            <w:vAlign w:val="center"/>
          </w:tcPr>
          <w:p>
            <w:pPr>
              <w:pStyle w:val="TableContents"/>
              <w:bidi w:val="0"/>
              <w:spacing w:lineRule="auto" w:line="285" w:before="0" w:after="0"/>
              <w:ind w:left="0" w:right="0" w:hanging="0"/>
              <w:jc w:val="right"/>
              <w:rPr/>
            </w:pPr>
            <w:r>
              <w:rPr/>
              <w:t>​</w:t>
            </w:r>
          </w:p>
        </w:tc>
        <w:tc>
          <w:tcPr>
            <w:tcW w:w="408" w:type="dxa"/>
            <w:tcBorders/>
            <w:shd w:fill="CCEEFF" w:val="clear"/>
            <w:vAlign w:val="center"/>
          </w:tcPr>
          <w:p>
            <w:pPr>
              <w:pStyle w:val="TableContents"/>
              <w:bidi w:val="0"/>
              <w:spacing w:lineRule="auto" w:line="285" w:before="0" w:after="0"/>
              <w:ind w:left="0" w:right="0" w:hanging="0"/>
              <w:jc w:val="left"/>
              <w:rPr/>
            </w:pPr>
            <w:r>
              <w:rPr/>
              <w:t>​</w:t>
            </w:r>
          </w:p>
        </w:tc>
        <w:tc>
          <w:tcPr>
            <w:tcW w:w="248" w:type="dxa"/>
            <w:tcBorders/>
            <w:shd w:fill="CCEEFF" w:val="clear"/>
            <w:vAlign w:val="center"/>
          </w:tcPr>
          <w:p>
            <w:pPr>
              <w:pStyle w:val="TableContents"/>
              <w:bidi w:val="0"/>
              <w:spacing w:lineRule="auto" w:line="285" w:before="0" w:after="0"/>
              <w:ind w:left="0" w:right="0" w:hanging="0"/>
              <w:jc w:val="left"/>
              <w:rPr/>
            </w:pPr>
            <w:r>
              <w:rPr/>
              <w:t>​</w:t>
            </w:r>
          </w:p>
        </w:tc>
        <w:tc>
          <w:tcPr>
            <w:tcW w:w="815" w:type="dxa"/>
            <w:tcBorders/>
            <w:shd w:fill="CCEEFF" w:val="clear"/>
            <w:vAlign w:val="center"/>
          </w:tcPr>
          <w:p>
            <w:pPr>
              <w:pStyle w:val="TableContents"/>
              <w:bidi w:val="0"/>
              <w:spacing w:lineRule="auto" w:line="285" w:before="0" w:after="0"/>
              <w:ind w:left="0" w:right="0" w:hanging="0"/>
              <w:jc w:val="righ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29" w:type="dxa"/>
            <w:tcBorders/>
            <w:shd w:fill="CCEEFF" w:val="clear"/>
            <w:vAlign w:val="center"/>
          </w:tcPr>
          <w:p>
            <w:pPr>
              <w:pStyle w:val="TableContents"/>
              <w:bidi w:val="0"/>
              <w:spacing w:lineRule="auto" w:line="285" w:before="0" w:after="0"/>
              <w:ind w:left="0" w:right="0" w:hanging="0"/>
              <w:jc w:val="left"/>
              <w:rPr/>
            </w:pPr>
            <w:r>
              <w:rPr/>
              <w:t>​</w:t>
            </w:r>
          </w:p>
        </w:tc>
        <w:tc>
          <w:tcPr>
            <w:tcW w:w="751" w:type="dxa"/>
            <w:tcBorders/>
            <w:shd w:fill="CCEEFF" w:val="clear"/>
            <w:vAlign w:val="center"/>
          </w:tcPr>
          <w:p>
            <w:pPr>
              <w:pStyle w:val="TableContents"/>
              <w:bidi w:val="0"/>
              <w:spacing w:lineRule="auto" w:line="285" w:before="0" w:after="0"/>
              <w:ind w:left="0" w:right="0" w:hanging="0"/>
              <w:jc w:val="right"/>
              <w:rPr/>
            </w:pPr>
            <w:r>
              <w:rPr/>
              <w:t>​</w:t>
            </w:r>
          </w:p>
        </w:tc>
        <w:tc>
          <w:tcPr>
            <w:tcW w:w="376" w:type="dxa"/>
            <w:tcBorders/>
            <w:shd w:fill="CCEEFF" w:val="clear"/>
            <w:vAlign w:val="center"/>
          </w:tcPr>
          <w:p>
            <w:pPr>
              <w:pStyle w:val="TableContents"/>
              <w:bidi w:val="0"/>
              <w:spacing w:lineRule="auto" w:line="285" w:before="0" w:after="0"/>
              <w:ind w:left="0" w:right="0" w:hanging="0"/>
              <w:jc w:val="left"/>
              <w:rPr/>
            </w:pPr>
            <w:r>
              <w:rPr/>
              <w:t>​</w:t>
            </w:r>
          </w:p>
        </w:tc>
        <w:tc>
          <w:tcPr>
            <w:tcW w:w="229" w:type="dxa"/>
            <w:tcBorders/>
            <w:shd w:fill="CCEEFF" w:val="clear"/>
            <w:vAlign w:val="center"/>
          </w:tcPr>
          <w:p>
            <w:pPr>
              <w:pStyle w:val="TableContents"/>
              <w:bidi w:val="0"/>
              <w:spacing w:lineRule="auto" w:line="285" w:before="0" w:after="0"/>
              <w:ind w:left="0" w:right="0" w:hanging="0"/>
              <w:jc w:val="left"/>
              <w:rPr/>
            </w:pPr>
            <w:r>
              <w:rPr/>
              <w:t>​</w:t>
            </w:r>
          </w:p>
        </w:tc>
        <w:tc>
          <w:tcPr>
            <w:tcW w:w="800" w:type="dxa"/>
            <w:tcBorders/>
            <w:shd w:fill="CCEEFF" w:val="clear"/>
            <w:vAlign w:val="center"/>
          </w:tcPr>
          <w:p>
            <w:pPr>
              <w:pStyle w:val="TableContents"/>
              <w:bidi w:val="0"/>
              <w:spacing w:lineRule="auto" w:line="285" w:before="0" w:after="0"/>
              <w:ind w:left="0" w:right="0" w:hanging="0"/>
              <w:jc w:val="right"/>
              <w:rPr/>
            </w:pPr>
            <w:r>
              <w:rPr/>
              <w:t>​</w:t>
            </w:r>
          </w:p>
        </w:tc>
      </w:tr>
      <w:tr>
        <w:trPr/>
        <w:tc>
          <w:tcPr>
            <w:tcW w:w="3166"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Employee compensation and benefits</w:t>
            </w:r>
          </w:p>
        </w:tc>
        <w:tc>
          <w:tcPr>
            <w:tcW w:w="346" w:type="dxa"/>
            <w:tcBorders/>
            <w:vAlign w:val="center"/>
          </w:tcPr>
          <w:p>
            <w:pPr>
              <w:pStyle w:val="TableContents"/>
              <w:bidi w:val="0"/>
              <w:spacing w:lineRule="auto" w:line="285" w:before="0" w:after="0"/>
              <w:ind w:left="0" w:right="0" w:hanging="0"/>
              <w:jc w:val="left"/>
              <w:rPr/>
            </w:pPr>
            <w:r>
              <w:rPr/>
              <w:t>​</w:t>
            </w:r>
          </w:p>
        </w:tc>
        <w:tc>
          <w:tcPr>
            <w:tcW w:w="248" w:type="dxa"/>
            <w:tcBorders/>
            <w:vAlign w:val="center"/>
          </w:tcPr>
          <w:p>
            <w:pPr>
              <w:pStyle w:val="TableContents"/>
              <w:bidi w:val="0"/>
              <w:spacing w:lineRule="auto" w:line="285" w:before="0" w:after="0"/>
              <w:ind w:left="0" w:right="0" w:hanging="0"/>
              <w:jc w:val="left"/>
              <w:rPr/>
            </w:pPr>
            <w:r>
              <w:rPr/>
              <w:t>​</w:t>
            </w:r>
          </w:p>
        </w:tc>
        <w:tc>
          <w:tcPr>
            <w:tcW w:w="815"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439</w:t>
            </w:r>
          </w:p>
        </w:tc>
        <w:tc>
          <w:tcPr>
            <w:tcW w:w="408" w:type="dxa"/>
            <w:tcBorders/>
            <w:vAlign w:val="center"/>
          </w:tcPr>
          <w:p>
            <w:pPr>
              <w:pStyle w:val="TableContents"/>
              <w:bidi w:val="0"/>
              <w:spacing w:lineRule="auto" w:line="285" w:before="0" w:after="0"/>
              <w:ind w:left="0" w:right="0" w:hanging="0"/>
              <w:jc w:val="left"/>
              <w:rPr/>
            </w:pPr>
            <w:r>
              <w:rPr/>
              <w:t>​</w:t>
            </w:r>
          </w:p>
        </w:tc>
        <w:tc>
          <w:tcPr>
            <w:tcW w:w="248" w:type="dxa"/>
            <w:tcBorders/>
            <w:vAlign w:val="center"/>
          </w:tcPr>
          <w:p>
            <w:pPr>
              <w:pStyle w:val="TableContents"/>
              <w:bidi w:val="0"/>
              <w:spacing w:lineRule="auto" w:line="285" w:before="0" w:after="0"/>
              <w:ind w:left="0" w:right="0" w:hanging="0"/>
              <w:jc w:val="left"/>
              <w:rPr/>
            </w:pPr>
            <w:r>
              <w:rPr/>
              <w:t>​</w:t>
            </w:r>
          </w:p>
        </w:tc>
        <w:tc>
          <w:tcPr>
            <w:tcW w:w="815"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441</w:t>
            </w:r>
          </w:p>
        </w:tc>
        <w:tc>
          <w:tcPr>
            <w:tcW w:w="346" w:type="dxa"/>
            <w:tcBorders/>
            <w:vAlign w:val="center"/>
          </w:tcPr>
          <w:p>
            <w:pPr>
              <w:pStyle w:val="TableContents"/>
              <w:bidi w:val="0"/>
              <w:spacing w:lineRule="auto" w:line="285" w:before="0" w:after="0"/>
              <w:ind w:left="0" w:right="0" w:hanging="0"/>
              <w:jc w:val="left"/>
              <w:rPr/>
            </w:pPr>
            <w:r>
              <w:rPr/>
              <w:t>​</w:t>
            </w:r>
          </w:p>
        </w:tc>
        <w:tc>
          <w:tcPr>
            <w:tcW w:w="229" w:type="dxa"/>
            <w:tcBorders/>
            <w:vAlign w:val="center"/>
          </w:tcPr>
          <w:p>
            <w:pPr>
              <w:pStyle w:val="TableContents"/>
              <w:bidi w:val="0"/>
              <w:spacing w:lineRule="auto" w:line="285" w:before="0" w:after="0"/>
              <w:ind w:left="0" w:right="0" w:hanging="0"/>
              <w:jc w:val="left"/>
              <w:rPr/>
            </w:pPr>
            <w:r>
              <w:rPr/>
              <w:t>​</w:t>
            </w:r>
          </w:p>
        </w:tc>
        <w:tc>
          <w:tcPr>
            <w:tcW w:w="751"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880</w:t>
            </w:r>
          </w:p>
        </w:tc>
        <w:tc>
          <w:tcPr>
            <w:tcW w:w="376" w:type="dxa"/>
            <w:tcBorders/>
            <w:vAlign w:val="center"/>
          </w:tcPr>
          <w:p>
            <w:pPr>
              <w:pStyle w:val="TableContents"/>
              <w:bidi w:val="0"/>
              <w:spacing w:lineRule="auto" w:line="285" w:before="0" w:after="0"/>
              <w:ind w:left="0" w:right="0" w:hanging="0"/>
              <w:jc w:val="left"/>
              <w:rPr/>
            </w:pPr>
            <w:r>
              <w:rPr/>
              <w:t>​</w:t>
            </w:r>
          </w:p>
        </w:tc>
        <w:tc>
          <w:tcPr>
            <w:tcW w:w="229" w:type="dxa"/>
            <w:tcBorders/>
            <w:vAlign w:val="center"/>
          </w:tcPr>
          <w:p>
            <w:pPr>
              <w:pStyle w:val="TableContents"/>
              <w:bidi w:val="0"/>
              <w:spacing w:lineRule="auto" w:line="285" w:before="0" w:after="0"/>
              <w:ind w:left="0" w:right="0" w:hanging="0"/>
              <w:jc w:val="left"/>
              <w:rPr/>
            </w:pPr>
            <w:r>
              <w:rPr/>
              <w:t>​</w:t>
            </w:r>
          </w:p>
        </w:tc>
        <w:tc>
          <w:tcPr>
            <w:tcW w:w="800"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950</w:t>
            </w:r>
          </w:p>
        </w:tc>
      </w:tr>
      <w:tr>
        <w:trPr/>
        <w:tc>
          <w:tcPr>
            <w:tcW w:w="316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Consulting</w:t>
            </w:r>
          </w:p>
        </w:tc>
        <w:tc>
          <w:tcPr>
            <w:tcW w:w="34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248"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815"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47</w:t>
            </w:r>
          </w:p>
        </w:tc>
        <w:tc>
          <w:tcPr>
            <w:tcW w:w="408"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248"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815"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43</w:t>
            </w:r>
          </w:p>
        </w:tc>
        <w:tc>
          <w:tcPr>
            <w:tcW w:w="34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229"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75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80</w:t>
            </w:r>
          </w:p>
        </w:tc>
        <w:tc>
          <w:tcPr>
            <w:tcW w:w="37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229"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800"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66</w:t>
            </w:r>
          </w:p>
        </w:tc>
      </w:tr>
      <w:tr>
        <w:trPr/>
        <w:tc>
          <w:tcPr>
            <w:tcW w:w="3166"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Total research and development</w:t>
            </w:r>
          </w:p>
        </w:tc>
        <w:tc>
          <w:tcPr>
            <w:tcW w:w="346"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248"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815"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3,478</w:t>
            </w:r>
          </w:p>
        </w:tc>
        <w:tc>
          <w:tcPr>
            <w:tcW w:w="408"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248"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815"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2,320</w:t>
            </w:r>
          </w:p>
        </w:tc>
        <w:tc>
          <w:tcPr>
            <w:tcW w:w="346"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229"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751"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5,579</w:t>
            </w:r>
          </w:p>
        </w:tc>
        <w:tc>
          <w:tcPr>
            <w:tcW w:w="376"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229"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800"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4,647</w:t>
            </w:r>
          </w:p>
        </w:tc>
      </w:tr>
      <w:tr>
        <w:trPr/>
        <w:tc>
          <w:tcPr>
            <w:tcW w:w="316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General and administrative</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48" w:type="dxa"/>
            <w:tcBorders/>
            <w:shd w:fill="CCEEFF" w:val="clear"/>
            <w:vAlign w:val="center"/>
          </w:tcPr>
          <w:p>
            <w:pPr>
              <w:pStyle w:val="TableContents"/>
              <w:bidi w:val="0"/>
              <w:spacing w:lineRule="auto" w:line="285" w:before="0" w:after="0"/>
              <w:ind w:left="0" w:right="0" w:hanging="0"/>
              <w:jc w:val="left"/>
              <w:rPr/>
            </w:pPr>
            <w:r>
              <w:rPr/>
              <w:t>​</w:t>
            </w:r>
          </w:p>
        </w:tc>
        <w:tc>
          <w:tcPr>
            <w:tcW w:w="815" w:type="dxa"/>
            <w:tcBorders/>
            <w:shd w:fill="CCEEFF" w:val="clear"/>
            <w:vAlign w:val="center"/>
          </w:tcPr>
          <w:p>
            <w:pPr>
              <w:pStyle w:val="TableContents"/>
              <w:bidi w:val="0"/>
              <w:spacing w:lineRule="auto" w:line="285" w:before="0" w:after="0"/>
              <w:ind w:left="0" w:right="0" w:hanging="0"/>
              <w:jc w:val="right"/>
              <w:rPr/>
            </w:pPr>
            <w:r>
              <w:rPr/>
              <w:t>​</w:t>
            </w:r>
          </w:p>
        </w:tc>
        <w:tc>
          <w:tcPr>
            <w:tcW w:w="408" w:type="dxa"/>
            <w:tcBorders/>
            <w:shd w:fill="CCEEFF" w:val="clear"/>
            <w:vAlign w:val="center"/>
          </w:tcPr>
          <w:p>
            <w:pPr>
              <w:pStyle w:val="TableContents"/>
              <w:bidi w:val="0"/>
              <w:spacing w:lineRule="auto" w:line="285" w:before="0" w:after="0"/>
              <w:ind w:left="0" w:right="0" w:hanging="0"/>
              <w:jc w:val="left"/>
              <w:rPr/>
            </w:pPr>
            <w:r>
              <w:rPr/>
              <w:t>​</w:t>
            </w:r>
          </w:p>
        </w:tc>
        <w:tc>
          <w:tcPr>
            <w:tcW w:w="248" w:type="dxa"/>
            <w:tcBorders/>
            <w:shd w:fill="CCEEFF" w:val="clear"/>
            <w:vAlign w:val="center"/>
          </w:tcPr>
          <w:p>
            <w:pPr>
              <w:pStyle w:val="TableContents"/>
              <w:bidi w:val="0"/>
              <w:spacing w:lineRule="auto" w:line="285" w:before="0" w:after="0"/>
              <w:ind w:left="0" w:right="0" w:hanging="0"/>
              <w:jc w:val="left"/>
              <w:rPr/>
            </w:pPr>
            <w:r>
              <w:rPr/>
              <w:t>​</w:t>
            </w:r>
          </w:p>
        </w:tc>
        <w:tc>
          <w:tcPr>
            <w:tcW w:w="815" w:type="dxa"/>
            <w:tcBorders/>
            <w:shd w:fill="CCEEFF" w:val="clear"/>
            <w:vAlign w:val="center"/>
          </w:tcPr>
          <w:p>
            <w:pPr>
              <w:pStyle w:val="TableContents"/>
              <w:bidi w:val="0"/>
              <w:spacing w:lineRule="auto" w:line="285" w:before="0" w:after="0"/>
              <w:ind w:left="0" w:right="0" w:hanging="0"/>
              <w:jc w:val="righ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29" w:type="dxa"/>
            <w:tcBorders/>
            <w:shd w:fill="CCEEFF" w:val="clear"/>
            <w:vAlign w:val="center"/>
          </w:tcPr>
          <w:p>
            <w:pPr>
              <w:pStyle w:val="TableContents"/>
              <w:bidi w:val="0"/>
              <w:spacing w:lineRule="auto" w:line="285" w:before="0" w:after="0"/>
              <w:ind w:left="0" w:right="0" w:hanging="0"/>
              <w:jc w:val="left"/>
              <w:rPr/>
            </w:pPr>
            <w:r>
              <w:rPr/>
              <w:t>​</w:t>
            </w:r>
          </w:p>
        </w:tc>
        <w:tc>
          <w:tcPr>
            <w:tcW w:w="751" w:type="dxa"/>
            <w:tcBorders/>
            <w:shd w:fill="CCEEFF" w:val="clear"/>
            <w:vAlign w:val="center"/>
          </w:tcPr>
          <w:p>
            <w:pPr>
              <w:pStyle w:val="TableContents"/>
              <w:bidi w:val="0"/>
              <w:spacing w:lineRule="auto" w:line="285" w:before="0" w:after="0"/>
              <w:ind w:left="0" w:right="0" w:hanging="0"/>
              <w:jc w:val="right"/>
              <w:rPr/>
            </w:pPr>
            <w:r>
              <w:rPr/>
              <w:t>​</w:t>
            </w:r>
          </w:p>
        </w:tc>
        <w:tc>
          <w:tcPr>
            <w:tcW w:w="376" w:type="dxa"/>
            <w:tcBorders/>
            <w:shd w:fill="CCEEFF" w:val="clear"/>
            <w:vAlign w:val="center"/>
          </w:tcPr>
          <w:p>
            <w:pPr>
              <w:pStyle w:val="TableContents"/>
              <w:bidi w:val="0"/>
              <w:spacing w:lineRule="auto" w:line="285" w:before="0" w:after="0"/>
              <w:ind w:left="0" w:right="0" w:hanging="0"/>
              <w:jc w:val="left"/>
              <w:rPr/>
            </w:pPr>
            <w:r>
              <w:rPr/>
              <w:t>​</w:t>
            </w:r>
          </w:p>
        </w:tc>
        <w:tc>
          <w:tcPr>
            <w:tcW w:w="229" w:type="dxa"/>
            <w:tcBorders/>
            <w:shd w:fill="CCEEFF" w:val="clear"/>
            <w:vAlign w:val="center"/>
          </w:tcPr>
          <w:p>
            <w:pPr>
              <w:pStyle w:val="TableContents"/>
              <w:bidi w:val="0"/>
              <w:spacing w:lineRule="auto" w:line="285" w:before="0" w:after="0"/>
              <w:ind w:left="0" w:right="0" w:hanging="0"/>
              <w:jc w:val="left"/>
              <w:rPr/>
            </w:pPr>
            <w:r>
              <w:rPr/>
              <w:t>​</w:t>
            </w:r>
          </w:p>
        </w:tc>
        <w:tc>
          <w:tcPr>
            <w:tcW w:w="800" w:type="dxa"/>
            <w:tcBorders/>
            <w:shd w:fill="CCEEFF" w:val="clear"/>
            <w:vAlign w:val="center"/>
          </w:tcPr>
          <w:p>
            <w:pPr>
              <w:pStyle w:val="TableContents"/>
              <w:bidi w:val="0"/>
              <w:spacing w:lineRule="auto" w:line="285" w:before="0" w:after="0"/>
              <w:ind w:left="0" w:right="0" w:hanging="0"/>
              <w:jc w:val="right"/>
              <w:rPr/>
            </w:pPr>
            <w:r>
              <w:rPr/>
              <w:t>​</w:t>
            </w:r>
          </w:p>
        </w:tc>
      </w:tr>
      <w:tr>
        <w:trPr/>
        <w:tc>
          <w:tcPr>
            <w:tcW w:w="3166"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Legal and professional fees</w:t>
            </w:r>
          </w:p>
        </w:tc>
        <w:tc>
          <w:tcPr>
            <w:tcW w:w="346" w:type="dxa"/>
            <w:tcBorders/>
            <w:vAlign w:val="center"/>
          </w:tcPr>
          <w:p>
            <w:pPr>
              <w:pStyle w:val="TableContents"/>
              <w:bidi w:val="0"/>
              <w:spacing w:lineRule="auto" w:line="285" w:before="0" w:after="0"/>
              <w:ind w:left="0" w:right="0" w:hanging="0"/>
              <w:jc w:val="left"/>
              <w:rPr/>
            </w:pPr>
            <w:r>
              <w:rPr/>
              <w:t>​</w:t>
            </w:r>
          </w:p>
        </w:tc>
        <w:tc>
          <w:tcPr>
            <w:tcW w:w="248" w:type="dxa"/>
            <w:tcBorders/>
            <w:vAlign w:val="center"/>
          </w:tcPr>
          <w:p>
            <w:pPr>
              <w:pStyle w:val="TableContents"/>
              <w:bidi w:val="0"/>
              <w:spacing w:lineRule="auto" w:line="285" w:before="0" w:after="0"/>
              <w:ind w:left="0" w:right="0" w:hanging="0"/>
              <w:jc w:val="left"/>
              <w:rPr/>
            </w:pPr>
            <w:r>
              <w:rPr/>
              <w:t>​</w:t>
            </w:r>
          </w:p>
        </w:tc>
        <w:tc>
          <w:tcPr>
            <w:tcW w:w="815"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985</w:t>
            </w:r>
          </w:p>
        </w:tc>
        <w:tc>
          <w:tcPr>
            <w:tcW w:w="408" w:type="dxa"/>
            <w:tcBorders/>
            <w:vAlign w:val="center"/>
          </w:tcPr>
          <w:p>
            <w:pPr>
              <w:pStyle w:val="TableContents"/>
              <w:bidi w:val="0"/>
              <w:spacing w:lineRule="auto" w:line="285" w:before="0" w:after="0"/>
              <w:ind w:left="0" w:right="0" w:hanging="0"/>
              <w:jc w:val="left"/>
              <w:rPr/>
            </w:pPr>
            <w:r>
              <w:rPr/>
              <w:t>​</w:t>
            </w:r>
          </w:p>
        </w:tc>
        <w:tc>
          <w:tcPr>
            <w:tcW w:w="248" w:type="dxa"/>
            <w:tcBorders/>
            <w:vAlign w:val="center"/>
          </w:tcPr>
          <w:p>
            <w:pPr>
              <w:pStyle w:val="TableContents"/>
              <w:bidi w:val="0"/>
              <w:spacing w:lineRule="auto" w:line="285" w:before="0" w:after="0"/>
              <w:ind w:left="0" w:right="0" w:hanging="0"/>
              <w:jc w:val="left"/>
              <w:rPr/>
            </w:pPr>
            <w:r>
              <w:rPr/>
              <w:t>​</w:t>
            </w:r>
          </w:p>
        </w:tc>
        <w:tc>
          <w:tcPr>
            <w:tcW w:w="815"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1,074</w:t>
            </w:r>
          </w:p>
        </w:tc>
        <w:tc>
          <w:tcPr>
            <w:tcW w:w="346" w:type="dxa"/>
            <w:tcBorders/>
            <w:vAlign w:val="center"/>
          </w:tcPr>
          <w:p>
            <w:pPr>
              <w:pStyle w:val="TableContents"/>
              <w:bidi w:val="0"/>
              <w:spacing w:lineRule="auto" w:line="285" w:before="0" w:after="0"/>
              <w:ind w:left="0" w:right="0" w:hanging="0"/>
              <w:jc w:val="left"/>
              <w:rPr/>
            </w:pPr>
            <w:r>
              <w:rPr/>
              <w:t>​</w:t>
            </w:r>
          </w:p>
        </w:tc>
        <w:tc>
          <w:tcPr>
            <w:tcW w:w="229" w:type="dxa"/>
            <w:tcBorders/>
            <w:vAlign w:val="center"/>
          </w:tcPr>
          <w:p>
            <w:pPr>
              <w:pStyle w:val="TableContents"/>
              <w:bidi w:val="0"/>
              <w:spacing w:lineRule="auto" w:line="285" w:before="0" w:after="0"/>
              <w:ind w:left="0" w:right="0" w:hanging="0"/>
              <w:jc w:val="left"/>
              <w:rPr/>
            </w:pPr>
            <w:r>
              <w:rPr/>
              <w:t>​</w:t>
            </w:r>
          </w:p>
        </w:tc>
        <w:tc>
          <w:tcPr>
            <w:tcW w:w="751"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1,910</w:t>
            </w:r>
          </w:p>
        </w:tc>
        <w:tc>
          <w:tcPr>
            <w:tcW w:w="376" w:type="dxa"/>
            <w:tcBorders/>
            <w:vAlign w:val="center"/>
          </w:tcPr>
          <w:p>
            <w:pPr>
              <w:pStyle w:val="TableContents"/>
              <w:bidi w:val="0"/>
              <w:spacing w:lineRule="auto" w:line="285" w:before="0" w:after="0"/>
              <w:ind w:left="0" w:right="0" w:hanging="0"/>
              <w:jc w:val="left"/>
              <w:rPr/>
            </w:pPr>
            <w:r>
              <w:rPr/>
              <w:t>​</w:t>
            </w:r>
          </w:p>
        </w:tc>
        <w:tc>
          <w:tcPr>
            <w:tcW w:w="229" w:type="dxa"/>
            <w:tcBorders/>
            <w:vAlign w:val="center"/>
          </w:tcPr>
          <w:p>
            <w:pPr>
              <w:pStyle w:val="TableContents"/>
              <w:bidi w:val="0"/>
              <w:spacing w:lineRule="auto" w:line="285" w:before="0" w:after="0"/>
              <w:ind w:left="0" w:right="0" w:hanging="0"/>
              <w:jc w:val="left"/>
              <w:rPr/>
            </w:pPr>
            <w:r>
              <w:rPr/>
              <w:t>​</w:t>
            </w:r>
          </w:p>
        </w:tc>
        <w:tc>
          <w:tcPr>
            <w:tcW w:w="800"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1,907</w:t>
            </w:r>
          </w:p>
        </w:tc>
      </w:tr>
      <w:tr>
        <w:trPr/>
        <w:tc>
          <w:tcPr>
            <w:tcW w:w="316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Consulting</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48" w:type="dxa"/>
            <w:tcBorders/>
            <w:shd w:fill="CCEEFF" w:val="clear"/>
            <w:vAlign w:val="center"/>
          </w:tcPr>
          <w:p>
            <w:pPr>
              <w:pStyle w:val="TableContents"/>
              <w:bidi w:val="0"/>
              <w:spacing w:lineRule="auto" w:line="285" w:before="0" w:after="0"/>
              <w:ind w:left="0" w:right="0" w:hanging="0"/>
              <w:jc w:val="left"/>
              <w:rPr/>
            </w:pPr>
            <w:r>
              <w:rPr/>
              <w:t>​</w:t>
            </w:r>
          </w:p>
        </w:tc>
        <w:tc>
          <w:tcPr>
            <w:tcW w:w="815"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204</w:t>
            </w:r>
          </w:p>
        </w:tc>
        <w:tc>
          <w:tcPr>
            <w:tcW w:w="408" w:type="dxa"/>
            <w:tcBorders/>
            <w:shd w:fill="CCEEFF" w:val="clear"/>
            <w:vAlign w:val="center"/>
          </w:tcPr>
          <w:p>
            <w:pPr>
              <w:pStyle w:val="TableContents"/>
              <w:bidi w:val="0"/>
              <w:spacing w:lineRule="auto" w:line="285" w:before="0" w:after="0"/>
              <w:ind w:left="0" w:right="0" w:hanging="0"/>
              <w:jc w:val="left"/>
              <w:rPr/>
            </w:pPr>
            <w:r>
              <w:rPr/>
              <w:t>​</w:t>
            </w:r>
          </w:p>
        </w:tc>
        <w:tc>
          <w:tcPr>
            <w:tcW w:w="248" w:type="dxa"/>
            <w:tcBorders/>
            <w:shd w:fill="CCEEFF" w:val="clear"/>
            <w:vAlign w:val="center"/>
          </w:tcPr>
          <w:p>
            <w:pPr>
              <w:pStyle w:val="TableContents"/>
              <w:bidi w:val="0"/>
              <w:spacing w:lineRule="auto" w:line="285" w:before="0" w:after="0"/>
              <w:ind w:left="0" w:right="0" w:hanging="0"/>
              <w:jc w:val="left"/>
              <w:rPr/>
            </w:pPr>
            <w:r>
              <w:rPr/>
              <w:t>​</w:t>
            </w:r>
          </w:p>
        </w:tc>
        <w:tc>
          <w:tcPr>
            <w:tcW w:w="815"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230</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29" w:type="dxa"/>
            <w:tcBorders/>
            <w:shd w:fill="CCEEFF" w:val="clear"/>
            <w:vAlign w:val="center"/>
          </w:tcPr>
          <w:p>
            <w:pPr>
              <w:pStyle w:val="TableContents"/>
              <w:bidi w:val="0"/>
              <w:spacing w:lineRule="auto" w:line="285" w:before="0" w:after="0"/>
              <w:ind w:left="0" w:right="0" w:hanging="0"/>
              <w:jc w:val="left"/>
              <w:rPr/>
            </w:pPr>
            <w:r>
              <w:rPr/>
              <w:t>​</w:t>
            </w:r>
          </w:p>
        </w:tc>
        <w:tc>
          <w:tcPr>
            <w:tcW w:w="75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451</w:t>
            </w:r>
          </w:p>
        </w:tc>
        <w:tc>
          <w:tcPr>
            <w:tcW w:w="376" w:type="dxa"/>
            <w:tcBorders/>
            <w:shd w:fill="CCEEFF" w:val="clear"/>
            <w:vAlign w:val="center"/>
          </w:tcPr>
          <w:p>
            <w:pPr>
              <w:pStyle w:val="TableContents"/>
              <w:bidi w:val="0"/>
              <w:spacing w:lineRule="auto" w:line="285" w:before="0" w:after="0"/>
              <w:ind w:left="0" w:right="0" w:hanging="0"/>
              <w:jc w:val="left"/>
              <w:rPr/>
            </w:pPr>
            <w:r>
              <w:rPr/>
              <w:t>​</w:t>
            </w:r>
          </w:p>
        </w:tc>
        <w:tc>
          <w:tcPr>
            <w:tcW w:w="229" w:type="dxa"/>
            <w:tcBorders/>
            <w:shd w:fill="CCEEFF" w:val="clear"/>
            <w:vAlign w:val="center"/>
          </w:tcPr>
          <w:p>
            <w:pPr>
              <w:pStyle w:val="TableContents"/>
              <w:bidi w:val="0"/>
              <w:spacing w:lineRule="auto" w:line="285" w:before="0" w:after="0"/>
              <w:ind w:left="0" w:right="0" w:hanging="0"/>
              <w:jc w:val="left"/>
              <w:rPr/>
            </w:pPr>
            <w:r>
              <w:rPr/>
              <w:t>​</w:t>
            </w:r>
          </w:p>
        </w:tc>
        <w:tc>
          <w:tcPr>
            <w:tcW w:w="800"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333</w:t>
            </w:r>
          </w:p>
        </w:tc>
      </w:tr>
      <w:tr>
        <w:trPr/>
        <w:tc>
          <w:tcPr>
            <w:tcW w:w="3166"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Employee compensation and benefits</w:t>
            </w:r>
          </w:p>
        </w:tc>
        <w:tc>
          <w:tcPr>
            <w:tcW w:w="346" w:type="dxa"/>
            <w:tcBorders/>
            <w:vAlign w:val="center"/>
          </w:tcPr>
          <w:p>
            <w:pPr>
              <w:pStyle w:val="TableContents"/>
              <w:bidi w:val="0"/>
              <w:spacing w:lineRule="auto" w:line="285" w:before="0" w:after="0"/>
              <w:ind w:left="0" w:right="0" w:hanging="0"/>
              <w:jc w:val="left"/>
              <w:rPr/>
            </w:pPr>
            <w:r>
              <w:rPr/>
              <w:t>​</w:t>
            </w:r>
          </w:p>
        </w:tc>
        <w:tc>
          <w:tcPr>
            <w:tcW w:w="248" w:type="dxa"/>
            <w:tcBorders/>
            <w:vAlign w:val="center"/>
          </w:tcPr>
          <w:p>
            <w:pPr>
              <w:pStyle w:val="TableContents"/>
              <w:bidi w:val="0"/>
              <w:spacing w:lineRule="auto" w:line="285" w:before="0" w:after="0"/>
              <w:ind w:left="0" w:right="0" w:hanging="0"/>
              <w:jc w:val="left"/>
              <w:rPr/>
            </w:pPr>
            <w:r>
              <w:rPr/>
              <w:t>​</w:t>
            </w:r>
          </w:p>
        </w:tc>
        <w:tc>
          <w:tcPr>
            <w:tcW w:w="815"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471</w:t>
            </w:r>
          </w:p>
        </w:tc>
        <w:tc>
          <w:tcPr>
            <w:tcW w:w="408" w:type="dxa"/>
            <w:tcBorders/>
            <w:vAlign w:val="center"/>
          </w:tcPr>
          <w:p>
            <w:pPr>
              <w:pStyle w:val="TableContents"/>
              <w:bidi w:val="0"/>
              <w:spacing w:lineRule="auto" w:line="285" w:before="0" w:after="0"/>
              <w:ind w:left="0" w:right="0" w:hanging="0"/>
              <w:jc w:val="left"/>
              <w:rPr/>
            </w:pPr>
            <w:r>
              <w:rPr/>
              <w:t>​</w:t>
            </w:r>
          </w:p>
        </w:tc>
        <w:tc>
          <w:tcPr>
            <w:tcW w:w="248" w:type="dxa"/>
            <w:tcBorders/>
            <w:vAlign w:val="center"/>
          </w:tcPr>
          <w:p>
            <w:pPr>
              <w:pStyle w:val="TableContents"/>
              <w:bidi w:val="0"/>
              <w:spacing w:lineRule="auto" w:line="285" w:before="0" w:after="0"/>
              <w:ind w:left="0" w:right="0" w:hanging="0"/>
              <w:jc w:val="left"/>
              <w:rPr/>
            </w:pPr>
            <w:r>
              <w:rPr/>
              <w:t>​</w:t>
            </w:r>
          </w:p>
        </w:tc>
        <w:tc>
          <w:tcPr>
            <w:tcW w:w="815"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444</w:t>
            </w:r>
          </w:p>
        </w:tc>
        <w:tc>
          <w:tcPr>
            <w:tcW w:w="346" w:type="dxa"/>
            <w:tcBorders/>
            <w:vAlign w:val="center"/>
          </w:tcPr>
          <w:p>
            <w:pPr>
              <w:pStyle w:val="TableContents"/>
              <w:bidi w:val="0"/>
              <w:spacing w:lineRule="auto" w:line="285" w:before="0" w:after="0"/>
              <w:ind w:left="0" w:right="0" w:hanging="0"/>
              <w:jc w:val="left"/>
              <w:rPr/>
            </w:pPr>
            <w:r>
              <w:rPr/>
              <w:t>​</w:t>
            </w:r>
          </w:p>
        </w:tc>
        <w:tc>
          <w:tcPr>
            <w:tcW w:w="229" w:type="dxa"/>
            <w:tcBorders/>
            <w:vAlign w:val="center"/>
          </w:tcPr>
          <w:p>
            <w:pPr>
              <w:pStyle w:val="TableContents"/>
              <w:bidi w:val="0"/>
              <w:spacing w:lineRule="auto" w:line="285" w:before="0" w:after="0"/>
              <w:ind w:left="0" w:right="0" w:hanging="0"/>
              <w:jc w:val="left"/>
              <w:rPr/>
            </w:pPr>
            <w:r>
              <w:rPr/>
              <w:t>​</w:t>
            </w:r>
          </w:p>
        </w:tc>
        <w:tc>
          <w:tcPr>
            <w:tcW w:w="751"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997</w:t>
            </w:r>
          </w:p>
        </w:tc>
        <w:tc>
          <w:tcPr>
            <w:tcW w:w="376" w:type="dxa"/>
            <w:tcBorders/>
            <w:vAlign w:val="center"/>
          </w:tcPr>
          <w:p>
            <w:pPr>
              <w:pStyle w:val="TableContents"/>
              <w:bidi w:val="0"/>
              <w:spacing w:lineRule="auto" w:line="285" w:before="0" w:after="0"/>
              <w:ind w:left="0" w:right="0" w:hanging="0"/>
              <w:jc w:val="left"/>
              <w:rPr/>
            </w:pPr>
            <w:r>
              <w:rPr/>
              <w:t>​</w:t>
            </w:r>
          </w:p>
        </w:tc>
        <w:tc>
          <w:tcPr>
            <w:tcW w:w="229" w:type="dxa"/>
            <w:tcBorders/>
            <w:vAlign w:val="center"/>
          </w:tcPr>
          <w:p>
            <w:pPr>
              <w:pStyle w:val="TableContents"/>
              <w:bidi w:val="0"/>
              <w:spacing w:lineRule="auto" w:line="285" w:before="0" w:after="0"/>
              <w:ind w:left="0" w:right="0" w:hanging="0"/>
              <w:jc w:val="left"/>
              <w:rPr/>
            </w:pPr>
            <w:r>
              <w:rPr/>
              <w:t>​</w:t>
            </w:r>
          </w:p>
        </w:tc>
        <w:tc>
          <w:tcPr>
            <w:tcW w:w="800"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951</w:t>
            </w:r>
          </w:p>
        </w:tc>
      </w:tr>
      <w:tr>
        <w:trPr/>
        <w:tc>
          <w:tcPr>
            <w:tcW w:w="3166" w:type="dxa"/>
            <w:tcBorders>
              <w:bottom w:val="single" w:sz="2" w:space="0" w:color="000000"/>
            </w:tcBorders>
            <w:shd w:fill="CCEEFF" w:val="clear"/>
            <w:tcMar>
              <w:bottom w:w="28" w:type="dxa"/>
            </w:tcMar>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 xml:space="preserve">Other G&amp;A </w:t>
            </w:r>
            <w:r>
              <w:rPr>
                <w:rFonts w:ascii="Times New Roman;Times;serif" w:hAnsi="Times New Roman;Times;serif"/>
                <w:sz w:val="15"/>
              </w:rPr>
              <w:t>(2)</w:t>
            </w:r>
          </w:p>
        </w:tc>
        <w:tc>
          <w:tcPr>
            <w:tcW w:w="34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248"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815"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247</w:t>
            </w:r>
          </w:p>
        </w:tc>
        <w:tc>
          <w:tcPr>
            <w:tcW w:w="408"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248"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815"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233</w:t>
            </w:r>
          </w:p>
        </w:tc>
        <w:tc>
          <w:tcPr>
            <w:tcW w:w="34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229"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75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473</w:t>
            </w:r>
          </w:p>
        </w:tc>
        <w:tc>
          <w:tcPr>
            <w:tcW w:w="37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229"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800"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349</w:t>
            </w:r>
          </w:p>
        </w:tc>
      </w:tr>
      <w:tr>
        <w:trPr/>
        <w:tc>
          <w:tcPr>
            <w:tcW w:w="3166"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Total general and administrative</w:t>
            </w:r>
          </w:p>
        </w:tc>
        <w:tc>
          <w:tcPr>
            <w:tcW w:w="346"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248"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815"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1,907</w:t>
            </w:r>
          </w:p>
        </w:tc>
        <w:tc>
          <w:tcPr>
            <w:tcW w:w="408"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248"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815"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1,981</w:t>
            </w:r>
          </w:p>
        </w:tc>
        <w:tc>
          <w:tcPr>
            <w:tcW w:w="346"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229"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751"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3,831</w:t>
            </w:r>
          </w:p>
        </w:tc>
        <w:tc>
          <w:tcPr>
            <w:tcW w:w="376"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229"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800"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3,540</w:t>
            </w:r>
          </w:p>
        </w:tc>
      </w:tr>
      <w:tr>
        <w:trPr/>
        <w:tc>
          <w:tcPr>
            <w:tcW w:w="316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Total operating expenses</w:t>
            </w:r>
          </w:p>
        </w:tc>
        <w:tc>
          <w:tcPr>
            <w:tcW w:w="34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248"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 </w:t>
            </w:r>
          </w:p>
        </w:tc>
        <w:tc>
          <w:tcPr>
            <w:tcW w:w="815"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5,385</w:t>
            </w:r>
          </w:p>
        </w:tc>
        <w:tc>
          <w:tcPr>
            <w:tcW w:w="408"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248"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 </w:t>
            </w:r>
          </w:p>
        </w:tc>
        <w:tc>
          <w:tcPr>
            <w:tcW w:w="815"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4,301</w:t>
            </w:r>
          </w:p>
        </w:tc>
        <w:tc>
          <w:tcPr>
            <w:tcW w:w="34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229"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75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9,410</w:t>
            </w:r>
          </w:p>
        </w:tc>
        <w:tc>
          <w:tcPr>
            <w:tcW w:w="37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229"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800"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8,187</w:t>
            </w:r>
          </w:p>
        </w:tc>
      </w:tr>
      <w:tr>
        <w:trPr/>
        <w:tc>
          <w:tcPr>
            <w:tcW w:w="3166"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Loss from operations</w:t>
            </w:r>
          </w:p>
        </w:tc>
        <w:tc>
          <w:tcPr>
            <w:tcW w:w="346" w:type="dxa"/>
            <w:tcBorders/>
            <w:vAlign w:val="center"/>
          </w:tcPr>
          <w:p>
            <w:pPr>
              <w:pStyle w:val="TableContents"/>
              <w:bidi w:val="0"/>
              <w:spacing w:lineRule="auto" w:line="285" w:before="0" w:after="0"/>
              <w:ind w:left="0" w:right="0" w:hanging="0"/>
              <w:jc w:val="left"/>
              <w:rPr/>
            </w:pPr>
            <w:r>
              <w:rPr/>
              <w:t>​</w:t>
            </w:r>
          </w:p>
        </w:tc>
        <w:tc>
          <w:tcPr>
            <w:tcW w:w="248" w:type="dxa"/>
            <w:tcBorders/>
            <w:vAlign w:val="center"/>
          </w:tcPr>
          <w:p>
            <w:pPr>
              <w:pStyle w:val="TableContents"/>
              <w:bidi w:val="0"/>
              <w:spacing w:lineRule="auto" w:line="285" w:before="0" w:after="0"/>
              <w:ind w:left="0" w:right="0" w:hanging="0"/>
              <w:jc w:val="left"/>
              <w:rPr/>
            </w:pPr>
            <w:r>
              <w:rPr/>
              <w:t>​</w:t>
            </w:r>
          </w:p>
        </w:tc>
        <w:tc>
          <w:tcPr>
            <w:tcW w:w="815"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(5,385)</w:t>
            </w:r>
          </w:p>
        </w:tc>
        <w:tc>
          <w:tcPr>
            <w:tcW w:w="408" w:type="dxa"/>
            <w:tcBorders/>
            <w:vAlign w:val="center"/>
          </w:tcPr>
          <w:p>
            <w:pPr>
              <w:pStyle w:val="TableContents"/>
              <w:bidi w:val="0"/>
              <w:spacing w:lineRule="auto" w:line="285" w:before="0" w:after="0"/>
              <w:ind w:left="0" w:right="0" w:hanging="0"/>
              <w:jc w:val="left"/>
              <w:rPr/>
            </w:pPr>
            <w:r>
              <w:rPr/>
              <w:t>​</w:t>
            </w:r>
          </w:p>
        </w:tc>
        <w:tc>
          <w:tcPr>
            <w:tcW w:w="248" w:type="dxa"/>
            <w:tcBorders/>
            <w:vAlign w:val="center"/>
          </w:tcPr>
          <w:p>
            <w:pPr>
              <w:pStyle w:val="TableContents"/>
              <w:bidi w:val="0"/>
              <w:spacing w:lineRule="auto" w:line="285" w:before="0" w:after="0"/>
              <w:ind w:left="0" w:right="0" w:hanging="0"/>
              <w:jc w:val="left"/>
              <w:rPr/>
            </w:pPr>
            <w:r>
              <w:rPr/>
              <w:t>​</w:t>
            </w:r>
          </w:p>
        </w:tc>
        <w:tc>
          <w:tcPr>
            <w:tcW w:w="815"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(4,301)</w:t>
            </w:r>
          </w:p>
        </w:tc>
        <w:tc>
          <w:tcPr>
            <w:tcW w:w="346" w:type="dxa"/>
            <w:tcBorders/>
            <w:vAlign w:val="center"/>
          </w:tcPr>
          <w:p>
            <w:pPr>
              <w:pStyle w:val="TableContents"/>
              <w:bidi w:val="0"/>
              <w:spacing w:lineRule="auto" w:line="285" w:before="0" w:after="0"/>
              <w:ind w:left="0" w:right="0" w:hanging="0"/>
              <w:jc w:val="left"/>
              <w:rPr/>
            </w:pPr>
            <w:r>
              <w:rPr/>
              <w:t>​</w:t>
            </w:r>
          </w:p>
        </w:tc>
        <w:tc>
          <w:tcPr>
            <w:tcW w:w="229" w:type="dxa"/>
            <w:tcBorders/>
            <w:vAlign w:val="center"/>
          </w:tcPr>
          <w:p>
            <w:pPr>
              <w:pStyle w:val="TableContents"/>
              <w:bidi w:val="0"/>
              <w:spacing w:lineRule="auto" w:line="285" w:before="0" w:after="0"/>
              <w:ind w:left="0" w:right="0" w:hanging="0"/>
              <w:jc w:val="left"/>
              <w:rPr/>
            </w:pPr>
            <w:r>
              <w:rPr/>
              <w:t>​</w:t>
            </w:r>
          </w:p>
        </w:tc>
        <w:tc>
          <w:tcPr>
            <w:tcW w:w="751"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(9,410)</w:t>
            </w:r>
          </w:p>
        </w:tc>
        <w:tc>
          <w:tcPr>
            <w:tcW w:w="376" w:type="dxa"/>
            <w:tcBorders/>
            <w:vAlign w:val="center"/>
          </w:tcPr>
          <w:p>
            <w:pPr>
              <w:pStyle w:val="TableContents"/>
              <w:bidi w:val="0"/>
              <w:spacing w:lineRule="auto" w:line="285" w:before="0" w:after="0"/>
              <w:ind w:left="0" w:right="0" w:hanging="0"/>
              <w:jc w:val="left"/>
              <w:rPr/>
            </w:pPr>
            <w:r>
              <w:rPr/>
              <w:t>​</w:t>
            </w:r>
          </w:p>
        </w:tc>
        <w:tc>
          <w:tcPr>
            <w:tcW w:w="229" w:type="dxa"/>
            <w:tcBorders/>
            <w:vAlign w:val="center"/>
          </w:tcPr>
          <w:p>
            <w:pPr>
              <w:pStyle w:val="TableContents"/>
              <w:bidi w:val="0"/>
              <w:spacing w:lineRule="auto" w:line="285" w:before="0" w:after="0"/>
              <w:ind w:left="0" w:right="0" w:hanging="0"/>
              <w:jc w:val="left"/>
              <w:rPr/>
            </w:pPr>
            <w:r>
              <w:rPr/>
              <w:t>​</w:t>
            </w:r>
          </w:p>
        </w:tc>
        <w:tc>
          <w:tcPr>
            <w:tcW w:w="800"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(8,187)</w:t>
            </w:r>
          </w:p>
        </w:tc>
      </w:tr>
      <w:tr>
        <w:trPr/>
        <w:tc>
          <w:tcPr>
            <w:tcW w:w="316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Total other income</w:t>
            </w:r>
          </w:p>
        </w:tc>
        <w:tc>
          <w:tcPr>
            <w:tcW w:w="34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248"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815"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69</w:t>
            </w:r>
          </w:p>
        </w:tc>
        <w:tc>
          <w:tcPr>
            <w:tcW w:w="408"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248"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815"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306</w:t>
            </w:r>
          </w:p>
        </w:tc>
        <w:tc>
          <w:tcPr>
            <w:tcW w:w="34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229"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75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271</w:t>
            </w:r>
          </w:p>
        </w:tc>
        <w:tc>
          <w:tcPr>
            <w:tcW w:w="37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229"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800"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521</w:t>
            </w:r>
          </w:p>
        </w:tc>
      </w:tr>
      <w:tr>
        <w:trPr/>
        <w:tc>
          <w:tcPr>
            <w:tcW w:w="3166"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Loss before income taxes</w:t>
            </w:r>
          </w:p>
        </w:tc>
        <w:tc>
          <w:tcPr>
            <w:tcW w:w="346"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248"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15"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(5,316)</w:t>
            </w:r>
          </w:p>
        </w:tc>
        <w:tc>
          <w:tcPr>
            <w:tcW w:w="408"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248"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15"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(3,995)</w:t>
            </w:r>
          </w:p>
        </w:tc>
        <w:tc>
          <w:tcPr>
            <w:tcW w:w="346"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229"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51"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(9,139)</w:t>
            </w:r>
          </w:p>
        </w:tc>
        <w:tc>
          <w:tcPr>
            <w:tcW w:w="376"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229"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00"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(7,666)</w:t>
            </w:r>
          </w:p>
        </w:tc>
      </w:tr>
    </w:tbl>
    <w:p>
      <w:pPr>
        <w:pStyle w:val="TextBody"/>
        <w:pBdr/>
        <w:bidi w:val="0"/>
        <w:spacing w:lineRule="auto" w:line="240" w:before="80" w:after="80"/>
        <w:ind w:left="0" w:right="0" w:hanging="0"/>
        <w:jc w:val="both"/>
        <w:rPr>
          <w:rFonts w:ascii="Times New Roman;Times;serif" w:hAnsi="Times New Roman;Times;serif"/>
          <w:sz w:val="20"/>
        </w:rPr>
      </w:pPr>
      <w:r>
        <w:rPr>
          <w:rFonts w:ascii="Times New Roman;Times;serif" w:hAnsi="Times New Roman;Times;serif"/>
          <w:color w:val="212529"/>
          <w:spacing w:val="4"/>
          <w:sz w:val="15"/>
        </w:rPr>
        <w:t>(1)</w:t>
      </w:r>
      <w:r>
        <w:rPr>
          <w:rFonts w:ascii="Times New Roman;Times;serif" w:hAnsi="Times New Roman;Times;serif"/>
          <w:sz w:val="18"/>
        </w:rPr>
        <w:t>Other R&amp;D expenses include clinical, non-clinical and preclinical services and other R&amp;D expenditures that are not attributable to a single product candidate.</w:t>
      </w:r>
    </w:p>
    <w:p>
      <w:pPr>
        <w:pStyle w:val="TextBody"/>
        <w:pBdr/>
        <w:bidi w:val="0"/>
        <w:spacing w:lineRule="auto" w:line="240" w:before="80" w:after="0"/>
        <w:ind w:left="0" w:right="0" w:hanging="0"/>
        <w:jc w:val="both"/>
        <w:rPr>
          <w:rFonts w:ascii="Times New Roman;Times;serif" w:hAnsi="Times New Roman;Times;serif"/>
          <w:sz w:val="20"/>
        </w:rPr>
      </w:pPr>
      <w:r>
        <w:rPr>
          <w:rFonts w:ascii="Times New Roman;Times;serif" w:hAnsi="Times New Roman;Times;serif"/>
          <w:sz w:val="14"/>
        </w:rPr>
        <w:t>(2)</w:t>
      </w:r>
      <w:r>
        <w:rPr>
          <w:rFonts w:ascii="Times New Roman;Times;serif" w:hAnsi="Times New Roman;Times;serif"/>
          <w:sz w:val="18"/>
        </w:rPr>
        <w:t>Other G&amp;A expenses include insurance, software license fees, non-income state taxes, lease rental expenses and other G&amp;A expenditures</w:t>
      </w:r>
      <w:r>
        <w:rPr>
          <w:rFonts w:ascii="Times New Roman;Times;serif" w:hAnsi="Times New Roman;Times;serif"/>
          <w:color w:val="212529"/>
          <w:spacing w:val="4"/>
          <w:sz w:val="20"/>
        </w:rPr>
        <w:t>.</w:t>
      </w:r>
    </w:p>
    <w:p>
      <w:pPr>
        <w:pStyle w:val="TextBody"/>
        <w:shd w:fill="FFFFFF" w:val="clear"/>
        <w:bidi w:val="0"/>
        <w:spacing w:lineRule="auto" w:line="285" w:before="100" w:after="100"/>
        <w:ind w:left="0" w:right="0" w:hanging="0"/>
        <w:jc w:val="both"/>
        <w:rPr/>
      </w:pPr>
      <w:r>
        <w:rPr/>
        <w:t>​</w:t>
      </w:r>
    </w:p>
    <w:p>
      <w:pPr>
        <w:pStyle w:val="TextBody"/>
        <w:bidi w:val="0"/>
        <w:spacing w:lineRule="auto" w:line="285" w:before="0" w:after="16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9.</w:t>
      </w:r>
      <w:r>
        <w:rPr>
          <w:rFonts w:ascii="Times New Roman;Times;serif" w:hAnsi="Times New Roman;Times;serif"/>
          <w:b/>
          <w:sz w:val="20"/>
        </w:rPr>
        <w:t>Income taxes</w:t>
      </w:r>
    </w:p>
    <w:p>
      <w:pPr>
        <w:pStyle w:val="TextBody"/>
        <w:bidi w:val="0"/>
        <w:spacing w:lineRule="auto" w:line="285" w:before="200" w:after="0"/>
        <w:ind w:left="0" w:right="0" w:hanging="0"/>
        <w:jc w:val="both"/>
        <w:rPr>
          <w:rFonts w:ascii="Times New Roman;Times;serif" w:hAnsi="Times New Roman;Times;serif"/>
          <w:sz w:val="20"/>
        </w:rPr>
      </w:pPr>
      <w:r>
        <w:rPr>
          <w:rFonts w:ascii="Times New Roman;Times;serif" w:hAnsi="Times New Roman;Times;serif"/>
          <w:sz w:val="20"/>
        </w:rPr>
        <w:t>We do not expect to pay any significant federal or state income taxes as a result of (i) the losses recorded during the three and six months ended June 30, 2026, (ii) additional losses expected for the remainder of 2026, or (iii) net operating loss carry forwards from prior years.</w:t>
      </w:r>
    </w:p>
    <w:p>
      <w:pPr>
        <w:pStyle w:val="TextBody"/>
        <w:bidi w:val="0"/>
        <w:spacing w:lineRule="auto" w:line="285" w:before="160" w:after="0"/>
        <w:ind w:left="0" w:right="0" w:hanging="0"/>
        <w:jc w:val="both"/>
        <w:rPr>
          <w:rFonts w:ascii="Times New Roman;Times;serif" w:hAnsi="Times New Roman;Times;serif"/>
          <w:sz w:val="20"/>
        </w:rPr>
      </w:pPr>
      <w:r>
        <w:rPr>
          <w:rFonts w:ascii="Times New Roman;Times;serif" w:hAnsi="Times New Roman;Times;serif"/>
          <w:sz w:val="20"/>
        </w:rPr>
        <w:t>We recorded a full valuation allowance of the net operating losses for the three and six months ended June 30, 2026 and 2025. Accordingly, there were no benefits for income taxes recorded for the three and six months ended June 30, 2026 and 2025. Additionally, as of June 30, 2026 and December 31, 2025, we maintain a full valuation allowance for all deferred tax assets.</w:t>
      </w:r>
    </w:p>
    <w:p>
      <w:pPr>
        <w:pStyle w:val="TextBody"/>
        <w:bidi w:val="0"/>
        <w:spacing w:lineRule="auto" w:line="285" w:before="0" w:after="0"/>
        <w:ind w:left="0" w:right="0" w:hanging="0"/>
        <w:jc w:val="left"/>
        <w:rPr/>
      </w:pPr>
      <w:r>
        <w:rPr/>
        <w:t>​</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15</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MetaVia Inc.</w:t>
      </w:r>
    </w:p>
    <w:p>
      <w:pPr>
        <w:pStyle w:val="TextBody"/>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Notes to the Condensed Consolidated Financial Statements</w:t>
      </w:r>
    </w:p>
    <w:p>
      <w:pPr>
        <w:pStyle w:val="TextBody"/>
        <w:bidi w:val="0"/>
        <w:spacing w:lineRule="auto" w:line="285" w:before="0" w:after="0"/>
        <w:ind w:left="0" w:right="0" w:hanging="0"/>
        <w:jc w:val="center"/>
        <w:rPr>
          <w:rFonts w:ascii="Times New Roman;Times;serif" w:hAnsi="Times New Roman;Times;serif"/>
          <w:sz w:val="16"/>
        </w:rPr>
      </w:pPr>
      <w:r>
        <w:rPr>
          <w:rFonts w:ascii="Times New Roman;Times;serif" w:hAnsi="Times New Roman;Times;serif"/>
          <w:sz w:val="16"/>
        </w:rPr>
        <w:t>(Unaudited)</w:t>
      </w:r>
    </w:p>
    <w:p>
      <w:pPr>
        <w:pStyle w:val="TextBody"/>
        <w:bidi w:val="0"/>
        <w:spacing w:lineRule="auto" w:line="285" w:before="0" w:after="0"/>
        <w:ind w:left="0" w:right="0" w:hanging="0"/>
        <w:jc w:val="left"/>
        <w:rPr/>
      </w:pPr>
      <w:r>
        <w:rPr/>
        <w:t>​</w:t>
      </w:r>
    </w:p>
    <w:p>
      <w:pPr>
        <w:pStyle w:val="TextBody"/>
        <w:bidi w:val="0"/>
        <w:spacing w:lineRule="auto" w:line="285" w:before="0" w:after="160"/>
        <w:ind w:left="0" w:right="0" w:hanging="0"/>
        <w:jc w:val="left"/>
        <w:rPr>
          <w:rFonts w:ascii="Times New Roman;Times;serif" w:hAnsi="Times New Roman;Times;serif"/>
          <w:sz w:val="20"/>
        </w:rPr>
      </w:pPr>
      <w:bookmarkStart w:id="705" w:name="Tc_pFzENIV-nES4aRx7wwIxVg_5_0"/>
      <w:bookmarkStart w:id="706" w:name="Tc_WeBTEpbcGEOO-zt4s0iD9A_4_0"/>
      <w:bookmarkStart w:id="707" w:name="Tc_Mmz3r7T5JUGpEm_KwWfHdQ_3_0"/>
      <w:bookmarkStart w:id="708" w:name="Tc_Jf84MRf-uUafs0VPIkkAlA_2_4"/>
      <w:bookmarkStart w:id="709" w:name="Tc_SalW2R9vJEaVAh06apSLgA_2_2"/>
      <w:bookmarkStart w:id="710" w:name="Tc_y4hGPvhlb0O5XOclRJoFJA_1_2"/>
      <w:bookmarkStart w:id="711" w:name="Tc_hsJKBOSQaUOXP87M2RnQxg_9_11"/>
      <w:bookmarkStart w:id="712" w:name="Tc_FZMW4qh3AU6aL_Ycp8E8BQ_9_8"/>
      <w:bookmarkStart w:id="713" w:name="Tc_5U5JkJfBp02QtFJe2-9O4g_9_5"/>
      <w:bookmarkStart w:id="714" w:name="Tc_NZ-2zkCglkeZ-G0nt4deRg_9_2"/>
      <w:bookmarkStart w:id="715" w:name="Tc_GqeP5yKlWka253a64Ctacw_9_0"/>
      <w:bookmarkStart w:id="716" w:name="Tc_4-0OdN2nrk2Fh7EN8A2o8A_8_0"/>
      <w:bookmarkStart w:id="717" w:name="Tc_JHErIsxsEkutOGuODXr9Uw_7_12"/>
      <w:bookmarkStart w:id="718" w:name="Tc_1EM4WGk9R0Gf3sGgX24CzA_7_9"/>
      <w:bookmarkStart w:id="719" w:name="Tc_OKMQ9-h4XUimJrRKsmoYwg_7_6"/>
      <w:bookmarkStart w:id="720" w:name="Tc_wY_8RmZTKUekpLnWaZRuQw_7_3"/>
      <w:bookmarkStart w:id="721" w:name="Tc_Cfw2f3945kmF3tUDUijRKg_7_0"/>
      <w:bookmarkStart w:id="722" w:name="Tc_7vsHnh81jkOU5KIXV1pV1w_6_0"/>
      <w:bookmarkStart w:id="723" w:name="Tc_qGEVwZdKs0u7XWhpH3-yqA_5_0"/>
      <w:bookmarkStart w:id="724" w:name="Tc_pGa5en1YQUm6XVUgBdWEAg_4_11"/>
      <w:bookmarkStart w:id="725" w:name="Tc_tnImKNGeqUeBSOygQfmjqQ_4_8"/>
      <w:bookmarkStart w:id="726" w:name="Tc_N1TWeWgKpEGefE0ZYvdjCw_4_5"/>
      <w:bookmarkStart w:id="727" w:name="Tc__NdX4t4b9k-kC8tPQ43byA_4_2"/>
      <w:bookmarkStart w:id="728" w:name="Tc_5pBBekcwrEC9pD57xQX4iQ_4_0"/>
      <w:bookmarkStart w:id="729" w:name="Tc_ZczP09Q-FE-gmxZPLCkY3A_3_0"/>
      <w:bookmarkStart w:id="730" w:name="Tc_2jJfK9IOPUi_p-ZDbvRe7A_2_11"/>
      <w:bookmarkStart w:id="731" w:name="Tc_5LLh4XxM8UKDxa1WCEh4QQ_2_8"/>
      <w:bookmarkStart w:id="732" w:name="Tc_WMCiLytGWEqIQYgi3kg4dQ_2_5"/>
      <w:bookmarkStart w:id="733" w:name="Tc_JBqysYgOAUCFVFQTgST3dQ_2_2"/>
      <w:bookmarkStart w:id="734" w:name="Tc_CPMxTaSgpUiv2kuyc05YEg_1_8"/>
      <w:bookmarkStart w:id="735" w:name="Tc_8pz61ZLBfU-MuFEXK0MmYw_1_2"/>
      <w:bookmarkStart w:id="736" w:name="_8439fec2_32ff_452c_a3d9_56343eae5568"/>
      <w:bookmarkStart w:id="737" w:name="_89f3a856_3722_428c_84be_c7d1bbd6d866"/>
      <w:bookmarkEnd w:id="705"/>
      <w:bookmarkEnd w:id="706"/>
      <w:bookmarkEnd w:id="707"/>
      <w:bookmarkEnd w:id="708"/>
      <w:bookmarkEnd w:id="709"/>
      <w:bookmarkEnd w:id="710"/>
      <w:bookmarkEnd w:id="711"/>
      <w:bookmarkEnd w:id="712"/>
      <w:bookmarkEnd w:id="713"/>
      <w:bookmarkEnd w:id="714"/>
      <w:bookmarkEnd w:id="715"/>
      <w:bookmarkEnd w:id="716"/>
      <w:bookmarkEnd w:id="717"/>
      <w:bookmarkEnd w:id="718"/>
      <w:bookmarkEnd w:id="719"/>
      <w:bookmarkEnd w:id="720"/>
      <w:bookmarkEnd w:id="721"/>
      <w:bookmarkEnd w:id="722"/>
      <w:bookmarkEnd w:id="723"/>
      <w:bookmarkEnd w:id="724"/>
      <w:bookmarkEnd w:id="725"/>
      <w:bookmarkEnd w:id="726"/>
      <w:bookmarkEnd w:id="727"/>
      <w:bookmarkEnd w:id="728"/>
      <w:bookmarkEnd w:id="729"/>
      <w:bookmarkEnd w:id="730"/>
      <w:bookmarkEnd w:id="731"/>
      <w:bookmarkEnd w:id="732"/>
      <w:bookmarkEnd w:id="733"/>
      <w:bookmarkEnd w:id="734"/>
      <w:bookmarkEnd w:id="735"/>
      <w:bookmarkEnd w:id="736"/>
      <w:bookmarkEnd w:id="737"/>
      <w:r>
        <w:rPr>
          <w:rFonts w:ascii="Times New Roman;Times;serif" w:hAnsi="Times New Roman;Times;serif"/>
          <w:b/>
          <w:i w:val="false"/>
          <w:caps w:val="false"/>
          <w:smallCaps w:val="false"/>
          <w:sz w:val="20"/>
        </w:rPr>
        <w:t>10.</w:t>
      </w:r>
      <w:r>
        <w:rPr>
          <w:rFonts w:ascii="Times New Roman;Times;serif" w:hAnsi="Times New Roman;Times;serif"/>
          <w:b/>
          <w:sz w:val="20"/>
        </w:rPr>
        <w:t>Loss per share of common stock</w:t>
      </w:r>
    </w:p>
    <w:p>
      <w:pPr>
        <w:pStyle w:val="TextBody"/>
        <w:bidi w:val="0"/>
        <w:spacing w:lineRule="auto" w:line="285" w:before="0" w:after="160"/>
        <w:ind w:left="0" w:right="0" w:hanging="0"/>
        <w:jc w:val="both"/>
        <w:rPr>
          <w:rFonts w:ascii="Times New Roman;Times;serif" w:hAnsi="Times New Roman;Times;serif"/>
          <w:sz w:val="20"/>
        </w:rPr>
      </w:pPr>
      <w:r>
        <w:rPr>
          <w:rFonts w:ascii="Times New Roman;Times;serif" w:hAnsi="Times New Roman;Times;serif"/>
          <w:sz w:val="20"/>
        </w:rPr>
        <w:t xml:space="preserve">The following table sets forth the computation of basic and diluted loss per share of common stock </w:t>
      </w:r>
      <w:r>
        <w:rPr>
          <w:rFonts w:ascii="Times New Roman;Times;serif" w:hAnsi="Times New Roman;Times;serif"/>
          <w:sz w:val="20"/>
          <w:shd w:fill="FFFFFF" w:val="clear"/>
        </w:rPr>
        <w:t>(in thousands, except share and per share amounts):</w:t>
      </w:r>
    </w:p>
    <w:tbl>
      <w:tblPr>
        <w:tblW w:w="9435" w:type="dxa"/>
        <w:jc w:val="left"/>
        <w:tblInd w:w="0" w:type="dxa"/>
        <w:tblLayout w:type="fixed"/>
        <w:tblCellMar>
          <w:top w:w="0" w:type="dxa"/>
          <w:left w:w="0" w:type="dxa"/>
          <w:bottom w:w="0" w:type="dxa"/>
          <w:right w:w="0" w:type="dxa"/>
        </w:tblCellMar>
      </w:tblPr>
      <w:tblGrid>
        <w:gridCol w:w="4246"/>
        <w:gridCol w:w="109"/>
        <w:gridCol w:w="223"/>
        <w:gridCol w:w="986"/>
        <w:gridCol w:w="115"/>
        <w:gridCol w:w="223"/>
        <w:gridCol w:w="986"/>
        <w:gridCol w:w="109"/>
        <w:gridCol w:w="211"/>
        <w:gridCol w:w="931"/>
        <w:gridCol w:w="109"/>
        <w:gridCol w:w="211"/>
        <w:gridCol w:w="976"/>
      </w:tblGrid>
      <w:tr>
        <w:trPr/>
        <w:tc>
          <w:tcPr>
            <w:tcW w:w="4246"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223" w:type="dxa"/>
            <w:tcBorders/>
            <w:vAlign w:val="center"/>
          </w:tcPr>
          <w:p>
            <w:pPr>
              <w:pStyle w:val="TableContents"/>
              <w:bidi w:val="0"/>
              <w:spacing w:lineRule="auto" w:line="285" w:before="0" w:after="0"/>
              <w:ind w:left="0" w:right="0" w:hanging="0"/>
              <w:jc w:val="left"/>
              <w:rPr/>
            </w:pPr>
            <w:r>
              <w:rPr/>
              <w:t>​</w:t>
            </w:r>
          </w:p>
        </w:tc>
        <w:tc>
          <w:tcPr>
            <w:tcW w:w="986" w:type="dxa"/>
            <w:tcBorders/>
            <w:vAlign w:val="center"/>
          </w:tcPr>
          <w:p>
            <w:pPr>
              <w:pStyle w:val="TableContents"/>
              <w:bidi w:val="0"/>
              <w:spacing w:lineRule="auto" w:line="285" w:before="0" w:after="0"/>
              <w:ind w:left="0" w:right="0" w:hanging="0"/>
              <w:jc w:val="left"/>
              <w:rPr/>
            </w:pPr>
            <w:r>
              <w:rPr/>
              <w:t>​</w:t>
            </w:r>
          </w:p>
        </w:tc>
        <w:tc>
          <w:tcPr>
            <w:tcW w:w="115" w:type="dxa"/>
            <w:tcBorders/>
            <w:vAlign w:val="center"/>
          </w:tcPr>
          <w:p>
            <w:pPr>
              <w:pStyle w:val="TableContents"/>
              <w:bidi w:val="0"/>
              <w:spacing w:lineRule="auto" w:line="285" w:before="0" w:after="0"/>
              <w:ind w:left="0" w:right="0" w:hanging="0"/>
              <w:jc w:val="left"/>
              <w:rPr/>
            </w:pPr>
            <w:r>
              <w:rPr/>
              <w:t>​</w:t>
            </w:r>
          </w:p>
        </w:tc>
        <w:tc>
          <w:tcPr>
            <w:tcW w:w="223" w:type="dxa"/>
            <w:tcBorders/>
            <w:vAlign w:val="center"/>
          </w:tcPr>
          <w:p>
            <w:pPr>
              <w:pStyle w:val="TableContents"/>
              <w:bidi w:val="0"/>
              <w:spacing w:lineRule="auto" w:line="285" w:before="0" w:after="0"/>
              <w:ind w:left="0" w:right="0" w:hanging="0"/>
              <w:jc w:val="left"/>
              <w:rPr/>
            </w:pPr>
            <w:r>
              <w:rPr/>
              <w:t>​</w:t>
            </w:r>
          </w:p>
        </w:tc>
        <w:tc>
          <w:tcPr>
            <w:tcW w:w="986"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pPr>
            <w:r>
              <w:rPr/>
              <w:t>​</w:t>
            </w:r>
          </w:p>
        </w:tc>
        <w:tc>
          <w:tcPr>
            <w:tcW w:w="931"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pPr>
            <w:r>
              <w:rPr/>
              <w:t>​</w:t>
            </w:r>
          </w:p>
        </w:tc>
        <w:tc>
          <w:tcPr>
            <w:tcW w:w="976" w:type="dxa"/>
            <w:tcBorders/>
            <w:vAlign w:val="center"/>
          </w:tcPr>
          <w:p>
            <w:pPr>
              <w:pStyle w:val="TableContents"/>
              <w:bidi w:val="0"/>
              <w:spacing w:lineRule="auto" w:line="285" w:before="0" w:after="0"/>
              <w:ind w:left="0" w:right="0" w:hanging="0"/>
              <w:jc w:val="left"/>
              <w:rPr/>
            </w:pPr>
            <w:r>
              <w:rPr/>
              <w:t>​</w:t>
            </w:r>
          </w:p>
        </w:tc>
      </w:tr>
      <w:tr>
        <w:trPr/>
        <w:tc>
          <w:tcPr>
            <w:tcW w:w="4246" w:type="dxa"/>
            <w:tcBorders/>
            <w:vAlign w:val="center"/>
          </w:tcPr>
          <w:p>
            <w:pPr>
              <w:pStyle w:val="TableContents"/>
              <w:bidi w:val="0"/>
              <w:spacing w:lineRule="auto" w:line="285" w:before="0" w:after="0"/>
              <w:ind w:left="0" w:right="0" w:hanging="0"/>
              <w:jc w:val="center"/>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2533" w:type="dxa"/>
            <w:gridSpan w:val="5"/>
            <w:tcBorders>
              <w:bottom w:val="single" w:sz="2" w:space="0" w:color="000000"/>
            </w:tcBorders>
            <w:tcMar>
              <w:bottom w:w="28" w:type="dxa"/>
            </w:tcMar>
            <w:vAlign w:val="center"/>
          </w:tcPr>
          <w:p>
            <w:pPr>
              <w:pStyle w:val="TableContents"/>
              <w:bidi w:val="0"/>
              <w:spacing w:lineRule="auto" w:line="285" w:before="1" w:after="1"/>
              <w:ind w:left="0" w:right="0" w:hanging="0"/>
              <w:jc w:val="center"/>
              <w:rPr>
                <w:rFonts w:ascii="Times New Roman;Times;serif" w:hAnsi="Times New Roman;Times;serif"/>
                <w:sz w:val="20"/>
              </w:rPr>
            </w:pPr>
            <w:r>
              <w:rPr>
                <w:rFonts w:ascii="Times New Roman;Times;serif" w:hAnsi="Times New Roman;Times;serif"/>
                <w:sz w:val="20"/>
              </w:rPr>
              <w:t>Three Months Ended June 30,</w:t>
            </w:r>
          </w:p>
        </w:tc>
        <w:tc>
          <w:tcPr>
            <w:tcW w:w="109"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2438" w:type="dxa"/>
            <w:gridSpan w:val="5"/>
            <w:tcBorders>
              <w:bottom w:val="single" w:sz="2" w:space="0" w:color="000000"/>
            </w:tcBorders>
            <w:tcMar>
              <w:bottom w:w="28" w:type="dxa"/>
            </w:tcMar>
            <w:vAlign w:val="center"/>
          </w:tcPr>
          <w:p>
            <w:pPr>
              <w:pStyle w:val="TableContents"/>
              <w:bidi w:val="0"/>
              <w:spacing w:lineRule="auto" w:line="285" w:before="1" w:after="1"/>
              <w:ind w:left="0" w:right="0" w:hanging="0"/>
              <w:jc w:val="center"/>
              <w:rPr>
                <w:rFonts w:ascii="Times New Roman;Times;serif" w:hAnsi="Times New Roman;Times;serif"/>
                <w:sz w:val="20"/>
              </w:rPr>
            </w:pPr>
            <w:r>
              <w:rPr>
                <w:rFonts w:ascii="Times New Roman;Times;serif" w:hAnsi="Times New Roman;Times;serif"/>
                <w:sz w:val="20"/>
              </w:rPr>
              <w:t>Six Months Ended June 30,</w:t>
            </w:r>
          </w:p>
        </w:tc>
      </w:tr>
      <w:tr>
        <w:trPr/>
        <w:tc>
          <w:tcPr>
            <w:tcW w:w="4246" w:type="dxa"/>
            <w:tcBorders>
              <w:bottom w:val="single" w:sz="2" w:space="0" w:color="000000"/>
            </w:tcBorders>
            <w:tcMar>
              <w:bottom w:w="28" w:type="dxa"/>
            </w:tcMar>
            <w:vAlign w:val="center"/>
          </w:tcPr>
          <w:p>
            <w:pPr>
              <w:pStyle w:val="TableContents"/>
              <w:bidi w:val="0"/>
              <w:spacing w:lineRule="auto" w:line="285" w:before="0" w:after="0"/>
              <w:ind w:left="0" w:right="0" w:hanging="0"/>
              <w:jc w:val="center"/>
              <w:rPr/>
            </w:pPr>
            <w:r>
              <w:rPr/>
              <w:t>​</w:t>
            </w:r>
          </w:p>
        </w:tc>
        <w:tc>
          <w:tcPr>
            <w:tcW w:w="109"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1209" w:type="dxa"/>
            <w:gridSpan w:val="2"/>
            <w:tcBorders>
              <w:bottom w:val="single" w:sz="2" w:space="0" w:color="000000"/>
            </w:tcBorders>
            <w:tcMar>
              <w:bottom w:w="28" w:type="dxa"/>
            </w:tcMar>
            <w:vAlign w:val="center"/>
          </w:tcPr>
          <w:p>
            <w:pPr>
              <w:pStyle w:val="TableContents"/>
              <w:bidi w:val="0"/>
              <w:spacing w:lineRule="auto" w:line="285" w:before="1" w:after="1"/>
              <w:ind w:left="0" w:right="0" w:hanging="0"/>
              <w:jc w:val="center"/>
              <w:rPr>
                <w:rFonts w:ascii="Times New Roman;Times;serif" w:hAnsi="Times New Roman;Times;serif"/>
                <w:sz w:val="20"/>
              </w:rPr>
            </w:pPr>
            <w:r>
              <w:rPr>
                <w:rFonts w:ascii="Times New Roman;Times;serif" w:hAnsi="Times New Roman;Times;serif"/>
                <w:sz w:val="20"/>
              </w:rPr>
              <w:t>2026</w:t>
            </w:r>
          </w:p>
        </w:tc>
        <w:tc>
          <w:tcPr>
            <w:tcW w:w="115"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1209" w:type="dxa"/>
            <w:gridSpan w:val="2"/>
            <w:tcBorders>
              <w:bottom w:val="single" w:sz="2" w:space="0" w:color="000000"/>
            </w:tcBorders>
            <w:tcMar>
              <w:bottom w:w="28" w:type="dxa"/>
            </w:tcMar>
            <w:vAlign w:val="center"/>
          </w:tcPr>
          <w:p>
            <w:pPr>
              <w:pStyle w:val="TableContents"/>
              <w:bidi w:val="0"/>
              <w:spacing w:lineRule="auto" w:line="285" w:before="1" w:after="1"/>
              <w:ind w:left="0" w:right="0" w:hanging="0"/>
              <w:jc w:val="center"/>
              <w:rPr>
                <w:rFonts w:ascii="Times New Roman;Times;serif" w:hAnsi="Times New Roman;Times;serif"/>
                <w:sz w:val="20"/>
              </w:rPr>
            </w:pPr>
            <w:r>
              <w:rPr>
                <w:rFonts w:ascii="Times New Roman;Times;serif" w:hAnsi="Times New Roman;Times;serif"/>
                <w:sz w:val="20"/>
              </w:rPr>
              <w:t>2025</w:t>
            </w:r>
          </w:p>
        </w:tc>
        <w:tc>
          <w:tcPr>
            <w:tcW w:w="109"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1142" w:type="dxa"/>
            <w:gridSpan w:val="2"/>
            <w:tcBorders>
              <w:bottom w:val="single" w:sz="2" w:space="0" w:color="000000"/>
            </w:tcBorders>
            <w:tcMar>
              <w:bottom w:w="28" w:type="dxa"/>
            </w:tcMar>
            <w:vAlign w:val="center"/>
          </w:tcPr>
          <w:p>
            <w:pPr>
              <w:pStyle w:val="TableContents"/>
              <w:bidi w:val="0"/>
              <w:spacing w:lineRule="auto" w:line="285" w:before="1" w:after="1"/>
              <w:ind w:left="0" w:right="0" w:hanging="0"/>
              <w:jc w:val="center"/>
              <w:rPr>
                <w:rFonts w:ascii="Times New Roman;Times;serif" w:hAnsi="Times New Roman;Times;serif"/>
                <w:sz w:val="20"/>
              </w:rPr>
            </w:pPr>
            <w:r>
              <w:rPr>
                <w:rFonts w:ascii="Times New Roman;Times;serif" w:hAnsi="Times New Roman;Times;serif"/>
                <w:sz w:val="20"/>
              </w:rPr>
              <w:t>2026</w:t>
            </w:r>
          </w:p>
        </w:tc>
        <w:tc>
          <w:tcPr>
            <w:tcW w:w="109"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1187" w:type="dxa"/>
            <w:gridSpan w:val="2"/>
            <w:tcBorders>
              <w:bottom w:val="single" w:sz="2" w:space="0" w:color="000000"/>
            </w:tcBorders>
            <w:tcMar>
              <w:bottom w:w="28" w:type="dxa"/>
            </w:tcMar>
            <w:vAlign w:val="center"/>
          </w:tcPr>
          <w:p>
            <w:pPr>
              <w:pStyle w:val="TableContents"/>
              <w:bidi w:val="0"/>
              <w:spacing w:lineRule="auto" w:line="285" w:before="1" w:after="1"/>
              <w:ind w:left="0" w:right="0" w:hanging="0"/>
              <w:jc w:val="center"/>
              <w:rPr>
                <w:rFonts w:ascii="Times New Roman;Times;serif" w:hAnsi="Times New Roman;Times;serif"/>
                <w:sz w:val="20"/>
              </w:rPr>
            </w:pPr>
            <w:r>
              <w:rPr>
                <w:rFonts w:ascii="Times New Roman;Times;serif" w:hAnsi="Times New Roman;Times;serif"/>
                <w:sz w:val="20"/>
              </w:rPr>
              <w:t>2025</w:t>
            </w:r>
          </w:p>
        </w:tc>
      </w:tr>
      <w:tr>
        <w:trPr/>
        <w:tc>
          <w:tcPr>
            <w:tcW w:w="4246" w:type="dxa"/>
            <w:tcBorders/>
            <w:shd w:fill="CCEEFF" w:val="clear"/>
            <w:vAlign w:val="center"/>
          </w:tcPr>
          <w:p>
            <w:pPr>
              <w:pStyle w:val="TableContents"/>
              <w:bidi w:val="0"/>
              <w:spacing w:lineRule="auto" w:line="285" w:before="1" w:after="1"/>
              <w:ind w:left="0" w:right="0" w:hanging="0"/>
              <w:jc w:val="left"/>
              <w:rPr>
                <w:rFonts w:ascii="Times New Roman;Times;serif" w:hAnsi="Times New Roman;Times;serif"/>
                <w:sz w:val="20"/>
              </w:rPr>
            </w:pPr>
            <w:r>
              <w:rPr>
                <w:rFonts w:ascii="Times New Roman;Times;serif" w:hAnsi="Times New Roman;Times;serif"/>
                <w:sz w:val="20"/>
              </w:rPr>
              <w:t>Numerator:</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23" w:type="dxa"/>
            <w:tcBorders/>
            <w:shd w:fill="CCEEFF" w:val="clear"/>
            <w:vAlign w:val="center"/>
          </w:tcPr>
          <w:p>
            <w:pPr>
              <w:pStyle w:val="TableContents"/>
              <w:bidi w:val="0"/>
              <w:spacing w:lineRule="auto" w:line="285" w:before="0" w:after="0"/>
              <w:ind w:left="0" w:right="0" w:hanging="0"/>
              <w:jc w:val="left"/>
              <w:rPr/>
            </w:pPr>
            <w:r>
              <w:rPr/>
              <w:t>​</w:t>
            </w:r>
          </w:p>
        </w:tc>
        <w:tc>
          <w:tcPr>
            <w:tcW w:w="986" w:type="dxa"/>
            <w:tcBorders/>
            <w:shd w:fill="CCEEFF" w:val="clear"/>
            <w:vAlign w:val="center"/>
          </w:tcPr>
          <w:p>
            <w:pPr>
              <w:pStyle w:val="TableContents"/>
              <w:bidi w:val="0"/>
              <w:spacing w:lineRule="auto" w:line="285" w:before="0" w:after="0"/>
              <w:ind w:left="0" w:right="0" w:hanging="0"/>
              <w:jc w:val="right"/>
              <w:rPr/>
            </w:pPr>
            <w:r>
              <w:rPr/>
              <w:t>​</w:t>
            </w:r>
          </w:p>
        </w:tc>
        <w:tc>
          <w:tcPr>
            <w:tcW w:w="115" w:type="dxa"/>
            <w:tcBorders/>
            <w:shd w:fill="CCEEFF" w:val="clear"/>
            <w:vAlign w:val="center"/>
          </w:tcPr>
          <w:p>
            <w:pPr>
              <w:pStyle w:val="TableContents"/>
              <w:bidi w:val="0"/>
              <w:spacing w:lineRule="auto" w:line="285" w:before="0" w:after="0"/>
              <w:ind w:left="0" w:right="0" w:hanging="0"/>
              <w:jc w:val="left"/>
              <w:rPr/>
            </w:pPr>
            <w:r>
              <w:rPr/>
              <w:t>​</w:t>
            </w:r>
          </w:p>
        </w:tc>
        <w:tc>
          <w:tcPr>
            <w:tcW w:w="223" w:type="dxa"/>
            <w:tcBorders/>
            <w:shd w:fill="CCEEFF" w:val="clear"/>
            <w:vAlign w:val="center"/>
          </w:tcPr>
          <w:p>
            <w:pPr>
              <w:pStyle w:val="TableContents"/>
              <w:bidi w:val="0"/>
              <w:spacing w:lineRule="auto" w:line="285" w:before="0" w:after="0"/>
              <w:ind w:left="0" w:right="0" w:hanging="0"/>
              <w:jc w:val="left"/>
              <w:rPr/>
            </w:pPr>
            <w:r>
              <w:rPr/>
              <w:t>​</w:t>
            </w:r>
          </w:p>
        </w:tc>
        <w:tc>
          <w:tcPr>
            <w:tcW w:w="986" w:type="dxa"/>
            <w:tcBorders/>
            <w:shd w:fill="CCEEFF" w:val="clear"/>
            <w:vAlign w:val="center"/>
          </w:tcPr>
          <w:p>
            <w:pPr>
              <w:pStyle w:val="TableContents"/>
              <w:bidi w:val="0"/>
              <w:spacing w:lineRule="auto" w:line="285" w:before="0" w:after="0"/>
              <w:ind w:left="0" w:right="0" w:hanging="0"/>
              <w:jc w:val="left"/>
              <w:rPr/>
            </w:pPr>
            <w:r>
              <w:rPr/>
              <w:t>​</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pPr>
            <w:r>
              <w:rPr/>
              <w:t>​</w:t>
            </w:r>
          </w:p>
        </w:tc>
        <w:tc>
          <w:tcPr>
            <w:tcW w:w="931" w:type="dxa"/>
            <w:tcBorders/>
            <w:shd w:fill="CCEEFF" w:val="clear"/>
            <w:vAlign w:val="center"/>
          </w:tcPr>
          <w:p>
            <w:pPr>
              <w:pStyle w:val="TableContents"/>
              <w:bidi w:val="0"/>
              <w:spacing w:lineRule="auto" w:line="285" w:before="0" w:after="0"/>
              <w:ind w:left="0" w:right="0" w:hanging="0"/>
              <w:jc w:val="right"/>
              <w:rPr/>
            </w:pPr>
            <w:r>
              <w:rPr/>
              <w:t>​</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pPr>
            <w:r>
              <w:rPr/>
              <w:t>​</w:t>
            </w:r>
          </w:p>
        </w:tc>
        <w:tc>
          <w:tcPr>
            <w:tcW w:w="976" w:type="dxa"/>
            <w:tcBorders/>
            <w:shd w:fill="CCEEFF" w:val="clear"/>
            <w:vAlign w:val="center"/>
          </w:tcPr>
          <w:p>
            <w:pPr>
              <w:pStyle w:val="TableContents"/>
              <w:bidi w:val="0"/>
              <w:spacing w:lineRule="auto" w:line="285" w:before="0" w:after="0"/>
              <w:ind w:left="0" w:right="0" w:hanging="0"/>
              <w:jc w:val="left"/>
              <w:rPr/>
            </w:pPr>
            <w:r>
              <w:rPr/>
              <w:t>​</w:t>
            </w:r>
          </w:p>
        </w:tc>
      </w:tr>
      <w:tr>
        <w:trPr/>
        <w:tc>
          <w:tcPr>
            <w:tcW w:w="4246" w:type="dxa"/>
            <w:tcBorders>
              <w:bottom w:val="single" w:sz="2" w:space="0" w:color="000000"/>
            </w:tcBorders>
            <w:tcMar>
              <w:bottom w:w="28" w:type="dxa"/>
            </w:tcMar>
            <w:vAlign w:val="center"/>
          </w:tcPr>
          <w:p>
            <w:pPr>
              <w:pStyle w:val="TableContents"/>
              <w:bidi w:val="0"/>
              <w:spacing w:lineRule="auto" w:line="285" w:before="1" w:after="1"/>
              <w:ind w:left="0" w:right="0" w:hanging="0"/>
              <w:jc w:val="left"/>
              <w:rPr>
                <w:rFonts w:ascii="Times New Roman;Times;serif" w:hAnsi="Times New Roman;Times;serif"/>
                <w:sz w:val="20"/>
              </w:rPr>
            </w:pPr>
            <w:r>
              <w:rPr>
                <w:rFonts w:ascii="Times New Roman;Times;serif" w:hAnsi="Times New Roman;Times;serif"/>
                <w:sz w:val="20"/>
              </w:rPr>
              <w:t>Net loss</w:t>
            </w:r>
          </w:p>
        </w:tc>
        <w:tc>
          <w:tcPr>
            <w:tcW w:w="109"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223" w:type="dxa"/>
            <w:tcBorders>
              <w:bottom w:val="single" w:sz="2" w:space="0" w:color="000000"/>
            </w:tcBorders>
            <w:tcMar>
              <w:bottom w:w="28" w:type="dxa"/>
            </w:tcMar>
            <w:vAlign w:val="center"/>
          </w:tcPr>
          <w:p>
            <w:pPr>
              <w:pStyle w:val="TableContents"/>
              <w:bidi w:val="0"/>
              <w:spacing w:lineRule="auto" w:line="285" w:before="1" w:after="1"/>
              <w:ind w:left="0" w:right="0" w:hanging="0"/>
              <w:jc w:val="left"/>
              <w:rPr>
                <w:rFonts w:ascii="Times New Roman;Times;serif" w:hAnsi="Times New Roman;Times;serif"/>
                <w:sz w:val="20"/>
              </w:rPr>
            </w:pPr>
            <w:r>
              <w:rPr>
                <w:rFonts w:ascii="Times New Roman;Times;serif" w:hAnsi="Times New Roman;Times;serif"/>
                <w:sz w:val="20"/>
              </w:rPr>
              <w:t>$</w:t>
            </w:r>
          </w:p>
        </w:tc>
        <w:tc>
          <w:tcPr>
            <w:tcW w:w="986" w:type="dxa"/>
            <w:tcBorders>
              <w:bottom w:val="single" w:sz="2" w:space="0" w:color="000000"/>
            </w:tcBorders>
            <w:tcMar>
              <w:bottom w:w="28" w:type="dxa"/>
            </w:tcMar>
            <w:vAlign w:val="center"/>
          </w:tcPr>
          <w:p>
            <w:pPr>
              <w:pStyle w:val="TableContents"/>
              <w:bidi w:val="0"/>
              <w:spacing w:lineRule="auto" w:line="285" w:before="1" w:after="1"/>
              <w:ind w:left="0" w:right="0" w:hanging="0"/>
              <w:jc w:val="right"/>
              <w:rPr>
                <w:rFonts w:ascii="Times New Roman;Times;serif" w:hAnsi="Times New Roman;Times;serif"/>
                <w:sz w:val="20"/>
              </w:rPr>
            </w:pPr>
            <w:r>
              <w:rPr>
                <w:rFonts w:ascii="Times New Roman;Times;serif" w:hAnsi="Times New Roman;Times;serif"/>
                <w:sz w:val="20"/>
              </w:rPr>
              <w:t>(5,316)</w:t>
            </w:r>
          </w:p>
        </w:tc>
        <w:tc>
          <w:tcPr>
            <w:tcW w:w="115"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223" w:type="dxa"/>
            <w:tcBorders>
              <w:bottom w:val="single" w:sz="2" w:space="0" w:color="000000"/>
            </w:tcBorders>
            <w:tcMar>
              <w:bottom w:w="28" w:type="dxa"/>
            </w:tcMar>
            <w:vAlign w:val="center"/>
          </w:tcPr>
          <w:p>
            <w:pPr>
              <w:pStyle w:val="TableContents"/>
              <w:bidi w:val="0"/>
              <w:spacing w:lineRule="auto" w:line="285" w:before="1" w:after="1"/>
              <w:ind w:left="0" w:right="0" w:hanging="0"/>
              <w:jc w:val="left"/>
              <w:rPr>
                <w:rFonts w:ascii="Times New Roman;Times;serif" w:hAnsi="Times New Roman;Times;serif"/>
                <w:sz w:val="20"/>
              </w:rPr>
            </w:pPr>
            <w:r>
              <w:rPr>
                <w:rFonts w:ascii="Times New Roman;Times;serif" w:hAnsi="Times New Roman;Times;serif"/>
                <w:sz w:val="20"/>
              </w:rPr>
              <w:t>$</w:t>
            </w:r>
          </w:p>
        </w:tc>
        <w:tc>
          <w:tcPr>
            <w:tcW w:w="986" w:type="dxa"/>
            <w:tcBorders>
              <w:bottom w:val="single" w:sz="2" w:space="0" w:color="000000"/>
            </w:tcBorders>
            <w:tcMar>
              <w:bottom w:w="28" w:type="dxa"/>
            </w:tcMar>
            <w:vAlign w:val="center"/>
          </w:tcPr>
          <w:p>
            <w:pPr>
              <w:pStyle w:val="TableContents"/>
              <w:bidi w:val="0"/>
              <w:spacing w:lineRule="auto" w:line="285" w:before="1" w:after="1"/>
              <w:ind w:left="0" w:right="0" w:hanging="0"/>
              <w:jc w:val="right"/>
              <w:rPr>
                <w:rFonts w:ascii="Times New Roman;Times;serif" w:hAnsi="Times New Roman;Times;serif"/>
                <w:sz w:val="20"/>
              </w:rPr>
            </w:pPr>
            <w:r>
              <w:rPr>
                <w:rFonts w:ascii="Times New Roman;Times;serif" w:hAnsi="Times New Roman;Times;serif"/>
                <w:sz w:val="20"/>
              </w:rPr>
              <w:t>(3,995)</w:t>
            </w:r>
          </w:p>
        </w:tc>
        <w:tc>
          <w:tcPr>
            <w:tcW w:w="109"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lineRule="auto" w:line="285" w:before="1" w:after="1"/>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single" w:sz="2" w:space="0" w:color="000000"/>
            </w:tcBorders>
            <w:tcMar>
              <w:bottom w:w="28" w:type="dxa"/>
            </w:tcMar>
            <w:vAlign w:val="center"/>
          </w:tcPr>
          <w:p>
            <w:pPr>
              <w:pStyle w:val="TableContents"/>
              <w:bidi w:val="0"/>
              <w:spacing w:lineRule="auto" w:line="285" w:before="1" w:after="1"/>
              <w:ind w:left="0" w:right="0" w:hanging="0"/>
              <w:jc w:val="right"/>
              <w:rPr>
                <w:rFonts w:ascii="Times New Roman;Times;serif" w:hAnsi="Times New Roman;Times;serif"/>
                <w:sz w:val="20"/>
              </w:rPr>
            </w:pPr>
            <w:r>
              <w:rPr>
                <w:rFonts w:ascii="Times New Roman;Times;serif" w:hAnsi="Times New Roman;Times;serif"/>
                <w:sz w:val="20"/>
              </w:rPr>
              <w:t>(9,139)</w:t>
            </w:r>
          </w:p>
        </w:tc>
        <w:tc>
          <w:tcPr>
            <w:tcW w:w="109"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lineRule="auto" w:line="285" w:before="1" w:after="1"/>
              <w:ind w:left="0" w:right="0" w:hanging="0"/>
              <w:jc w:val="left"/>
              <w:rPr>
                <w:rFonts w:ascii="Times New Roman;Times;serif" w:hAnsi="Times New Roman;Times;serif"/>
                <w:sz w:val="20"/>
              </w:rPr>
            </w:pPr>
            <w:r>
              <w:rPr>
                <w:rFonts w:ascii="Times New Roman;Times;serif" w:hAnsi="Times New Roman;Times;serif"/>
                <w:sz w:val="20"/>
              </w:rPr>
              <w:t>$</w:t>
            </w:r>
          </w:p>
        </w:tc>
        <w:tc>
          <w:tcPr>
            <w:tcW w:w="976" w:type="dxa"/>
            <w:tcBorders>
              <w:bottom w:val="single" w:sz="2" w:space="0" w:color="000000"/>
            </w:tcBorders>
            <w:tcMar>
              <w:bottom w:w="28" w:type="dxa"/>
            </w:tcMar>
            <w:vAlign w:val="center"/>
          </w:tcPr>
          <w:p>
            <w:pPr>
              <w:pStyle w:val="TableContents"/>
              <w:bidi w:val="0"/>
              <w:spacing w:lineRule="auto" w:line="285" w:before="1" w:after="1"/>
              <w:ind w:left="0" w:right="0" w:hanging="0"/>
              <w:jc w:val="right"/>
              <w:rPr>
                <w:rFonts w:ascii="Times New Roman;Times;serif" w:hAnsi="Times New Roman;Times;serif"/>
                <w:sz w:val="20"/>
              </w:rPr>
            </w:pPr>
            <w:r>
              <w:rPr>
                <w:rFonts w:ascii="Times New Roman;Times;serif" w:hAnsi="Times New Roman;Times;serif"/>
                <w:sz w:val="20"/>
              </w:rPr>
              <w:t>(7,666)</w:t>
            </w:r>
          </w:p>
        </w:tc>
      </w:tr>
      <w:tr>
        <w:trPr/>
        <w:tc>
          <w:tcPr>
            <w:tcW w:w="4246" w:type="dxa"/>
            <w:tcBorders/>
            <w:shd w:fill="CCEEFF" w:val="clear"/>
            <w:vAlign w:val="center"/>
          </w:tcPr>
          <w:p>
            <w:pPr>
              <w:pStyle w:val="TableContents"/>
              <w:bidi w:val="0"/>
              <w:spacing w:lineRule="auto" w:line="285" w:before="1" w:after="1"/>
              <w:ind w:left="0" w:right="0" w:hanging="0"/>
              <w:jc w:val="left"/>
              <w:rPr>
                <w:rFonts w:ascii="Times New Roman;Times;serif" w:hAnsi="Times New Roman;Times;serif"/>
                <w:sz w:val="20"/>
              </w:rPr>
            </w:pPr>
            <w:r>
              <w:rPr>
                <w:rFonts w:ascii="Times New Roman;Times;serif" w:hAnsi="Times New Roman;Times;serif"/>
                <w:sz w:val="20"/>
              </w:rPr>
              <w:t>Denominator:</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23" w:type="dxa"/>
            <w:tcBorders/>
            <w:shd w:fill="CCEEFF" w:val="clear"/>
            <w:vAlign w:val="center"/>
          </w:tcPr>
          <w:p>
            <w:pPr>
              <w:pStyle w:val="TableContents"/>
              <w:bidi w:val="0"/>
              <w:spacing w:lineRule="auto" w:line="285" w:before="0" w:after="0"/>
              <w:ind w:left="0" w:right="0" w:hanging="0"/>
              <w:jc w:val="left"/>
              <w:rPr/>
            </w:pPr>
            <w:r>
              <w:rPr/>
              <w:t>​</w:t>
            </w:r>
          </w:p>
        </w:tc>
        <w:tc>
          <w:tcPr>
            <w:tcW w:w="986" w:type="dxa"/>
            <w:tcBorders/>
            <w:shd w:fill="CCEEFF" w:val="clear"/>
            <w:vAlign w:val="center"/>
          </w:tcPr>
          <w:p>
            <w:pPr>
              <w:pStyle w:val="TableContents"/>
              <w:bidi w:val="0"/>
              <w:spacing w:lineRule="auto" w:line="285" w:before="0" w:after="0"/>
              <w:ind w:left="0" w:right="0" w:hanging="0"/>
              <w:jc w:val="right"/>
              <w:rPr/>
            </w:pPr>
            <w:r>
              <w:rPr/>
              <w:t>​</w:t>
            </w:r>
          </w:p>
        </w:tc>
        <w:tc>
          <w:tcPr>
            <w:tcW w:w="115" w:type="dxa"/>
            <w:tcBorders/>
            <w:shd w:fill="CCEEFF" w:val="clear"/>
            <w:vAlign w:val="center"/>
          </w:tcPr>
          <w:p>
            <w:pPr>
              <w:pStyle w:val="TableContents"/>
              <w:bidi w:val="0"/>
              <w:spacing w:lineRule="auto" w:line="285" w:before="0" w:after="0"/>
              <w:ind w:left="0" w:right="0" w:hanging="0"/>
              <w:jc w:val="left"/>
              <w:rPr/>
            </w:pPr>
            <w:r>
              <w:rPr/>
              <w:t>​</w:t>
            </w:r>
          </w:p>
        </w:tc>
        <w:tc>
          <w:tcPr>
            <w:tcW w:w="223" w:type="dxa"/>
            <w:tcBorders/>
            <w:shd w:fill="CCEEFF" w:val="clear"/>
            <w:vAlign w:val="center"/>
          </w:tcPr>
          <w:p>
            <w:pPr>
              <w:pStyle w:val="TableContents"/>
              <w:bidi w:val="0"/>
              <w:spacing w:lineRule="auto" w:line="285" w:before="0" w:after="0"/>
              <w:ind w:left="0" w:right="0" w:hanging="0"/>
              <w:jc w:val="left"/>
              <w:rPr/>
            </w:pPr>
            <w:r>
              <w:rPr/>
              <w:t>​</w:t>
            </w:r>
          </w:p>
        </w:tc>
        <w:tc>
          <w:tcPr>
            <w:tcW w:w="986" w:type="dxa"/>
            <w:tcBorders/>
            <w:shd w:fill="CCEEFF" w:val="clear"/>
            <w:vAlign w:val="center"/>
          </w:tcPr>
          <w:p>
            <w:pPr>
              <w:pStyle w:val="TableContents"/>
              <w:bidi w:val="0"/>
              <w:spacing w:lineRule="auto" w:line="285" w:before="0" w:after="0"/>
              <w:ind w:left="0" w:right="0" w:hanging="0"/>
              <w:jc w:val="left"/>
              <w:rPr/>
            </w:pPr>
            <w:r>
              <w:rPr/>
              <w:t>​</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pPr>
            <w:r>
              <w:rPr/>
              <w:t>​</w:t>
            </w:r>
          </w:p>
        </w:tc>
        <w:tc>
          <w:tcPr>
            <w:tcW w:w="931" w:type="dxa"/>
            <w:tcBorders/>
            <w:shd w:fill="CCEEFF" w:val="clear"/>
            <w:vAlign w:val="center"/>
          </w:tcPr>
          <w:p>
            <w:pPr>
              <w:pStyle w:val="TableContents"/>
              <w:bidi w:val="0"/>
              <w:spacing w:lineRule="auto" w:line="285" w:before="0" w:after="0"/>
              <w:ind w:left="0" w:right="0" w:hanging="0"/>
              <w:jc w:val="right"/>
              <w:rPr/>
            </w:pPr>
            <w:r>
              <w:rPr/>
              <w:t>​</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pPr>
            <w:r>
              <w:rPr/>
              <w:t>​</w:t>
            </w:r>
          </w:p>
        </w:tc>
        <w:tc>
          <w:tcPr>
            <w:tcW w:w="976" w:type="dxa"/>
            <w:tcBorders/>
            <w:shd w:fill="CCEEFF" w:val="clear"/>
            <w:vAlign w:val="center"/>
          </w:tcPr>
          <w:p>
            <w:pPr>
              <w:pStyle w:val="TableContents"/>
              <w:bidi w:val="0"/>
              <w:spacing w:lineRule="auto" w:line="285" w:before="0" w:after="0"/>
              <w:ind w:left="0" w:right="0" w:hanging="0"/>
              <w:jc w:val="left"/>
              <w:rPr/>
            </w:pPr>
            <w:r>
              <w:rPr/>
              <w:t>​</w:t>
            </w:r>
          </w:p>
        </w:tc>
      </w:tr>
      <w:tr>
        <w:trPr/>
        <w:tc>
          <w:tcPr>
            <w:tcW w:w="4246" w:type="dxa"/>
            <w:tcBorders/>
            <w:vAlign w:val="center"/>
          </w:tcPr>
          <w:p>
            <w:pPr>
              <w:pStyle w:val="TableContents"/>
              <w:bidi w:val="0"/>
              <w:spacing w:lineRule="auto" w:line="285" w:before="1" w:after="1"/>
              <w:ind w:left="0" w:right="0" w:hanging="0"/>
              <w:jc w:val="left"/>
              <w:rPr>
                <w:rFonts w:ascii="Times New Roman;Times;serif" w:hAnsi="Times New Roman;Times;serif"/>
                <w:sz w:val="20"/>
              </w:rPr>
            </w:pPr>
            <w:r>
              <w:rPr>
                <w:rFonts w:ascii="Times New Roman;Times;serif" w:hAnsi="Times New Roman;Times;serif"/>
                <w:sz w:val="20"/>
              </w:rPr>
              <w:t>Weighted average shares of common stock, basic</w:t>
            </w:r>
          </w:p>
        </w:tc>
        <w:tc>
          <w:tcPr>
            <w:tcW w:w="109" w:type="dxa"/>
            <w:tcBorders/>
            <w:vAlign w:val="center"/>
          </w:tcPr>
          <w:p>
            <w:pPr>
              <w:pStyle w:val="TableContents"/>
              <w:bidi w:val="0"/>
              <w:spacing w:lineRule="auto" w:line="285" w:before="0" w:after="0"/>
              <w:ind w:left="0" w:right="0" w:hanging="0"/>
              <w:jc w:val="left"/>
              <w:rPr/>
            </w:pPr>
            <w:r>
              <w:rPr/>
              <w:t>​</w:t>
            </w:r>
          </w:p>
        </w:tc>
        <w:tc>
          <w:tcPr>
            <w:tcW w:w="223" w:type="dxa"/>
            <w:tcBorders/>
            <w:vAlign w:val="center"/>
          </w:tcPr>
          <w:p>
            <w:pPr>
              <w:pStyle w:val="TableContents"/>
              <w:bidi w:val="0"/>
              <w:spacing w:lineRule="auto" w:line="285" w:before="0" w:after="0"/>
              <w:ind w:left="0" w:right="0" w:hanging="0"/>
              <w:jc w:val="left"/>
              <w:rPr/>
            </w:pPr>
            <w:r>
              <w:rPr/>
              <w:t>​</w:t>
            </w:r>
          </w:p>
        </w:tc>
        <w:tc>
          <w:tcPr>
            <w:tcW w:w="986" w:type="dxa"/>
            <w:tcBorders/>
            <w:vAlign w:val="center"/>
          </w:tcPr>
          <w:p>
            <w:pPr>
              <w:pStyle w:val="TableContents"/>
              <w:bidi w:val="0"/>
              <w:spacing w:lineRule="auto" w:line="285" w:before="1" w:after="1"/>
              <w:ind w:left="0" w:right="0" w:hanging="0"/>
              <w:jc w:val="right"/>
              <w:rPr>
                <w:rFonts w:ascii="Times New Roman;Times;serif" w:hAnsi="Times New Roman;Times;serif"/>
                <w:sz w:val="20"/>
              </w:rPr>
            </w:pPr>
            <w:r>
              <w:rPr>
                <w:rFonts w:ascii="Times New Roman;Times;serif" w:hAnsi="Times New Roman;Times;serif"/>
                <w:sz w:val="20"/>
              </w:rPr>
              <w:t>5,931,875</w:t>
            </w:r>
          </w:p>
        </w:tc>
        <w:tc>
          <w:tcPr>
            <w:tcW w:w="115" w:type="dxa"/>
            <w:tcBorders/>
            <w:vAlign w:val="center"/>
          </w:tcPr>
          <w:p>
            <w:pPr>
              <w:pStyle w:val="TableContents"/>
              <w:bidi w:val="0"/>
              <w:spacing w:lineRule="auto" w:line="285" w:before="0" w:after="0"/>
              <w:ind w:left="0" w:right="0" w:hanging="0"/>
              <w:jc w:val="left"/>
              <w:rPr/>
            </w:pPr>
            <w:r>
              <w:rPr/>
              <w:t>​</w:t>
            </w:r>
          </w:p>
        </w:tc>
        <w:tc>
          <w:tcPr>
            <w:tcW w:w="223" w:type="dxa"/>
            <w:tcBorders/>
            <w:vAlign w:val="center"/>
          </w:tcPr>
          <w:p>
            <w:pPr>
              <w:pStyle w:val="TableContents"/>
              <w:bidi w:val="0"/>
              <w:spacing w:lineRule="auto" w:line="285" w:before="0" w:after="0"/>
              <w:ind w:left="0" w:right="0" w:hanging="0"/>
              <w:jc w:val="left"/>
              <w:rPr/>
            </w:pPr>
            <w:r>
              <w:rPr/>
              <w:t>​</w:t>
            </w:r>
          </w:p>
        </w:tc>
        <w:tc>
          <w:tcPr>
            <w:tcW w:w="986" w:type="dxa"/>
            <w:tcBorders/>
            <w:vAlign w:val="center"/>
          </w:tcPr>
          <w:p>
            <w:pPr>
              <w:pStyle w:val="TableContents"/>
              <w:bidi w:val="0"/>
              <w:spacing w:lineRule="auto" w:line="285" w:before="1" w:after="1"/>
              <w:ind w:left="0" w:right="0" w:hanging="0"/>
              <w:jc w:val="right"/>
              <w:rPr>
                <w:rFonts w:ascii="Times New Roman;Times;serif" w:hAnsi="Times New Roman;Times;serif"/>
                <w:sz w:val="20"/>
              </w:rPr>
            </w:pPr>
            <w:r>
              <w:rPr>
                <w:rFonts w:ascii="Times New Roman;Times;serif" w:hAnsi="Times New Roman;Times;serif"/>
                <w:sz w:val="20"/>
              </w:rPr>
              <w:t>1,389,753</w:t>
            </w:r>
          </w:p>
        </w:tc>
        <w:tc>
          <w:tcPr>
            <w:tcW w:w="109"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pPr>
            <w:r>
              <w:rPr/>
              <w:t>​</w:t>
            </w:r>
          </w:p>
        </w:tc>
        <w:tc>
          <w:tcPr>
            <w:tcW w:w="931" w:type="dxa"/>
            <w:tcBorders/>
            <w:vAlign w:val="center"/>
          </w:tcPr>
          <w:p>
            <w:pPr>
              <w:pStyle w:val="TableContents"/>
              <w:bidi w:val="0"/>
              <w:spacing w:lineRule="auto" w:line="285" w:before="1" w:after="1"/>
              <w:ind w:left="0" w:right="0" w:hanging="0"/>
              <w:jc w:val="right"/>
              <w:rPr>
                <w:rFonts w:ascii="Times New Roman;Times;serif" w:hAnsi="Times New Roman;Times;serif"/>
                <w:sz w:val="20"/>
              </w:rPr>
            </w:pPr>
            <w:r>
              <w:rPr>
                <w:rFonts w:ascii="Times New Roman;Times;serif" w:hAnsi="Times New Roman;Times;serif"/>
                <w:sz w:val="20"/>
              </w:rPr>
              <w:t>5,398,683</w:t>
            </w:r>
          </w:p>
        </w:tc>
        <w:tc>
          <w:tcPr>
            <w:tcW w:w="109"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pPr>
            <w:r>
              <w:rPr/>
              <w:t>​</w:t>
            </w:r>
          </w:p>
        </w:tc>
        <w:tc>
          <w:tcPr>
            <w:tcW w:w="976" w:type="dxa"/>
            <w:tcBorders/>
            <w:vAlign w:val="center"/>
          </w:tcPr>
          <w:p>
            <w:pPr>
              <w:pStyle w:val="TableContents"/>
              <w:bidi w:val="0"/>
              <w:spacing w:lineRule="auto" w:line="285" w:before="1" w:after="1"/>
              <w:ind w:left="0" w:right="0" w:hanging="0"/>
              <w:jc w:val="right"/>
              <w:rPr>
                <w:rFonts w:ascii="Times New Roman;Times;serif" w:hAnsi="Times New Roman;Times;serif"/>
                <w:sz w:val="20"/>
              </w:rPr>
            </w:pPr>
            <w:r>
              <w:rPr>
                <w:rFonts w:ascii="Times New Roman;Times;serif" w:hAnsi="Times New Roman;Times;serif"/>
                <w:sz w:val="20"/>
              </w:rPr>
              <w:t>1,162,692</w:t>
            </w:r>
          </w:p>
        </w:tc>
      </w:tr>
      <w:tr>
        <w:trPr/>
        <w:tc>
          <w:tcPr>
            <w:tcW w:w="4246" w:type="dxa"/>
            <w:tcBorders>
              <w:bottom w:val="single" w:sz="2" w:space="0" w:color="000000"/>
            </w:tcBorders>
            <w:shd w:fill="CCEEFF" w:val="clear"/>
            <w:tcMar>
              <w:bottom w:w="28" w:type="dxa"/>
            </w:tcMar>
            <w:vAlign w:val="center"/>
          </w:tcPr>
          <w:p>
            <w:pPr>
              <w:pStyle w:val="TableContents"/>
              <w:bidi w:val="0"/>
              <w:spacing w:lineRule="auto" w:line="285" w:before="1" w:after="1"/>
              <w:ind w:left="0" w:right="0" w:hanging="0"/>
              <w:jc w:val="left"/>
              <w:rPr>
                <w:rFonts w:ascii="Times New Roman;Times;serif" w:hAnsi="Times New Roman;Times;serif"/>
                <w:sz w:val="20"/>
              </w:rPr>
            </w:pPr>
            <w:r>
              <w:rPr>
                <w:rFonts w:ascii="Times New Roman;Times;serif" w:hAnsi="Times New Roman;Times;serif"/>
                <w:sz w:val="20"/>
              </w:rPr>
              <w:t>Effect of dilutive securities</w:t>
            </w:r>
          </w:p>
        </w:tc>
        <w:tc>
          <w:tcPr>
            <w:tcW w:w="109"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223"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986" w:type="dxa"/>
            <w:tcBorders>
              <w:bottom w:val="single" w:sz="2" w:space="0" w:color="000000"/>
            </w:tcBorders>
            <w:shd w:fill="CCEEFF" w:val="clear"/>
            <w:tcMar>
              <w:bottom w:w="28" w:type="dxa"/>
            </w:tcMar>
            <w:vAlign w:val="center"/>
          </w:tcPr>
          <w:p>
            <w:pPr>
              <w:pStyle w:val="TableContents"/>
              <w:bidi w:val="0"/>
              <w:spacing w:lineRule="auto" w:line="285" w:before="1" w:after="1"/>
              <w:ind w:left="0" w:right="0" w:hanging="0"/>
              <w:jc w:val="right"/>
              <w:rPr/>
            </w:pPr>
            <w:r>
              <w:rPr/>
              <w:t>—</w:t>
            </w:r>
          </w:p>
        </w:tc>
        <w:tc>
          <w:tcPr>
            <w:tcW w:w="115"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223"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986" w:type="dxa"/>
            <w:tcBorders>
              <w:bottom w:val="single" w:sz="2" w:space="0" w:color="000000"/>
            </w:tcBorders>
            <w:shd w:fill="CCEEFF" w:val="clear"/>
            <w:tcMar>
              <w:bottom w:w="28" w:type="dxa"/>
            </w:tcMar>
            <w:vAlign w:val="center"/>
          </w:tcPr>
          <w:p>
            <w:pPr>
              <w:pStyle w:val="TableContents"/>
              <w:bidi w:val="0"/>
              <w:spacing w:lineRule="auto" w:line="285" w:before="1" w:after="1"/>
              <w:ind w:left="0" w:right="0" w:hanging="0"/>
              <w:jc w:val="right"/>
              <w:rPr/>
            </w:pPr>
            <w:r>
              <w:rPr/>
              <w:t>—</w:t>
            </w:r>
          </w:p>
        </w:tc>
        <w:tc>
          <w:tcPr>
            <w:tcW w:w="109"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931" w:type="dxa"/>
            <w:tcBorders>
              <w:bottom w:val="single" w:sz="2" w:space="0" w:color="000000"/>
            </w:tcBorders>
            <w:shd w:fill="CCEEFF" w:val="clear"/>
            <w:tcMar>
              <w:bottom w:w="28" w:type="dxa"/>
            </w:tcMar>
            <w:vAlign w:val="center"/>
          </w:tcPr>
          <w:p>
            <w:pPr>
              <w:pStyle w:val="TableContents"/>
              <w:bidi w:val="0"/>
              <w:spacing w:lineRule="auto" w:line="285" w:before="1" w:after="1"/>
              <w:ind w:left="0" w:right="0" w:hanging="0"/>
              <w:jc w:val="right"/>
              <w:rPr/>
            </w:pPr>
            <w:r>
              <w:rPr/>
              <w:t>—</w:t>
            </w:r>
          </w:p>
        </w:tc>
        <w:tc>
          <w:tcPr>
            <w:tcW w:w="109"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976" w:type="dxa"/>
            <w:tcBorders>
              <w:bottom w:val="single" w:sz="2" w:space="0" w:color="000000"/>
            </w:tcBorders>
            <w:shd w:fill="CCEEFF" w:val="clear"/>
            <w:tcMar>
              <w:bottom w:w="28" w:type="dxa"/>
            </w:tcMar>
            <w:vAlign w:val="center"/>
          </w:tcPr>
          <w:p>
            <w:pPr>
              <w:pStyle w:val="TableContents"/>
              <w:bidi w:val="0"/>
              <w:spacing w:lineRule="auto" w:line="285" w:before="1" w:after="1"/>
              <w:ind w:left="0" w:right="0" w:hanging="0"/>
              <w:jc w:val="right"/>
              <w:rPr/>
            </w:pPr>
            <w:r>
              <w:rPr/>
              <w:t>—</w:t>
            </w:r>
          </w:p>
        </w:tc>
      </w:tr>
      <w:tr>
        <w:trPr/>
        <w:tc>
          <w:tcPr>
            <w:tcW w:w="4246" w:type="dxa"/>
            <w:tcBorders>
              <w:bottom w:val="double" w:sz="6" w:space="0" w:color="000000"/>
            </w:tcBorders>
            <w:tcMar>
              <w:bottom w:w="28" w:type="dxa"/>
            </w:tcMar>
            <w:vAlign w:val="center"/>
          </w:tcPr>
          <w:p>
            <w:pPr>
              <w:pStyle w:val="TableContents"/>
              <w:bidi w:val="0"/>
              <w:spacing w:lineRule="auto" w:line="285" w:before="1" w:after="1"/>
              <w:ind w:left="0" w:right="0" w:hanging="0"/>
              <w:jc w:val="left"/>
              <w:rPr>
                <w:rFonts w:ascii="Times New Roman;Times;serif" w:hAnsi="Times New Roman;Times;serif"/>
                <w:sz w:val="20"/>
              </w:rPr>
            </w:pPr>
            <w:r>
              <w:rPr>
                <w:rFonts w:ascii="Times New Roman;Times;serif" w:hAnsi="Times New Roman;Times;serif"/>
                <w:sz w:val="20"/>
              </w:rPr>
              <w:t>Weighted average shares of common stock, diluted</w:t>
            </w:r>
          </w:p>
        </w:tc>
        <w:tc>
          <w:tcPr>
            <w:tcW w:w="109"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223"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986" w:type="dxa"/>
            <w:tcBorders>
              <w:bottom w:val="double" w:sz="6" w:space="0" w:color="000000"/>
            </w:tcBorders>
            <w:tcMar>
              <w:bottom w:w="28" w:type="dxa"/>
            </w:tcMar>
            <w:vAlign w:val="center"/>
          </w:tcPr>
          <w:p>
            <w:pPr>
              <w:pStyle w:val="TableContents"/>
              <w:bidi w:val="0"/>
              <w:spacing w:lineRule="auto" w:line="285" w:before="1" w:after="1"/>
              <w:ind w:left="0" w:right="0" w:hanging="0"/>
              <w:jc w:val="right"/>
              <w:rPr>
                <w:rFonts w:ascii="Times New Roman;Times;serif" w:hAnsi="Times New Roman;Times;serif"/>
                <w:sz w:val="20"/>
              </w:rPr>
            </w:pPr>
            <w:r>
              <w:rPr>
                <w:rFonts w:ascii="Times New Roman;Times;serif" w:hAnsi="Times New Roman;Times;serif"/>
                <w:sz w:val="20"/>
              </w:rPr>
              <w:t>5,931,875</w:t>
            </w:r>
          </w:p>
        </w:tc>
        <w:tc>
          <w:tcPr>
            <w:tcW w:w="115"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223"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986" w:type="dxa"/>
            <w:tcBorders>
              <w:bottom w:val="double" w:sz="6" w:space="0" w:color="000000"/>
            </w:tcBorders>
            <w:tcMar>
              <w:bottom w:w="28" w:type="dxa"/>
            </w:tcMar>
            <w:vAlign w:val="center"/>
          </w:tcPr>
          <w:p>
            <w:pPr>
              <w:pStyle w:val="TableContents"/>
              <w:bidi w:val="0"/>
              <w:spacing w:lineRule="auto" w:line="285" w:before="1" w:after="1"/>
              <w:ind w:left="0" w:right="0" w:hanging="0"/>
              <w:jc w:val="right"/>
              <w:rPr>
                <w:rFonts w:ascii="Times New Roman;Times;serif" w:hAnsi="Times New Roman;Times;serif"/>
                <w:sz w:val="20"/>
              </w:rPr>
            </w:pPr>
            <w:r>
              <w:rPr>
                <w:rFonts w:ascii="Times New Roman;Times;serif" w:hAnsi="Times New Roman;Times;serif"/>
                <w:sz w:val="20"/>
              </w:rPr>
              <w:t>1,389,753</w:t>
            </w:r>
          </w:p>
        </w:tc>
        <w:tc>
          <w:tcPr>
            <w:tcW w:w="109"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931" w:type="dxa"/>
            <w:tcBorders>
              <w:bottom w:val="double" w:sz="6" w:space="0" w:color="000000"/>
            </w:tcBorders>
            <w:tcMar>
              <w:bottom w:w="28" w:type="dxa"/>
            </w:tcMar>
            <w:vAlign w:val="center"/>
          </w:tcPr>
          <w:p>
            <w:pPr>
              <w:pStyle w:val="TableContents"/>
              <w:bidi w:val="0"/>
              <w:spacing w:lineRule="auto" w:line="285" w:before="1" w:after="1"/>
              <w:ind w:left="0" w:right="0" w:hanging="0"/>
              <w:jc w:val="right"/>
              <w:rPr>
                <w:rFonts w:ascii="Times New Roman;Times;serif" w:hAnsi="Times New Roman;Times;serif"/>
                <w:sz w:val="20"/>
              </w:rPr>
            </w:pPr>
            <w:r>
              <w:rPr>
                <w:rFonts w:ascii="Times New Roman;Times;serif" w:hAnsi="Times New Roman;Times;serif"/>
                <w:sz w:val="20"/>
              </w:rPr>
              <w:t>5,398,683</w:t>
            </w:r>
          </w:p>
        </w:tc>
        <w:tc>
          <w:tcPr>
            <w:tcW w:w="109"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976" w:type="dxa"/>
            <w:tcBorders>
              <w:bottom w:val="double" w:sz="6" w:space="0" w:color="000000"/>
            </w:tcBorders>
            <w:tcMar>
              <w:bottom w:w="28" w:type="dxa"/>
            </w:tcMar>
            <w:vAlign w:val="center"/>
          </w:tcPr>
          <w:p>
            <w:pPr>
              <w:pStyle w:val="TableContents"/>
              <w:bidi w:val="0"/>
              <w:spacing w:lineRule="auto" w:line="285" w:before="1" w:after="1"/>
              <w:ind w:left="0" w:right="0" w:hanging="0"/>
              <w:jc w:val="right"/>
              <w:rPr>
                <w:rFonts w:ascii="Times New Roman;Times;serif" w:hAnsi="Times New Roman;Times;serif"/>
                <w:sz w:val="20"/>
              </w:rPr>
            </w:pPr>
            <w:r>
              <w:rPr>
                <w:rFonts w:ascii="Times New Roman;Times;serif" w:hAnsi="Times New Roman;Times;serif"/>
                <w:sz w:val="20"/>
              </w:rPr>
              <w:t>1,162,692</w:t>
            </w:r>
          </w:p>
        </w:tc>
      </w:tr>
      <w:tr>
        <w:trPr/>
        <w:tc>
          <w:tcPr>
            <w:tcW w:w="4246" w:type="dxa"/>
            <w:tcBorders>
              <w:bottom w:val="double" w:sz="6" w:space="0" w:color="000000"/>
            </w:tcBorders>
            <w:shd w:fill="CCEEFF" w:val="clear"/>
            <w:tcMar>
              <w:bottom w:w="28" w:type="dxa"/>
            </w:tcMar>
            <w:vAlign w:val="center"/>
          </w:tcPr>
          <w:p>
            <w:pPr>
              <w:pStyle w:val="TableContents"/>
              <w:bidi w:val="0"/>
              <w:spacing w:lineRule="auto" w:line="285" w:before="1" w:after="1"/>
              <w:ind w:left="0" w:right="0" w:hanging="0"/>
              <w:jc w:val="left"/>
              <w:rPr>
                <w:rFonts w:ascii="Times New Roman;Times;serif" w:hAnsi="Times New Roman;Times;serif"/>
                <w:sz w:val="20"/>
              </w:rPr>
            </w:pPr>
            <w:r>
              <w:rPr>
                <w:rFonts w:ascii="Times New Roman;Times;serif" w:hAnsi="Times New Roman;Times;serif"/>
                <w:sz w:val="20"/>
              </w:rPr>
              <w:t xml:space="preserve">Loss per share of common stock, basic and diluted </w:t>
            </w:r>
          </w:p>
        </w:tc>
        <w:tc>
          <w:tcPr>
            <w:tcW w:w="109"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223" w:type="dxa"/>
            <w:tcBorders>
              <w:bottom w:val="double" w:sz="6" w:space="0" w:color="000000"/>
            </w:tcBorders>
            <w:shd w:fill="CCEEFF" w:val="clear"/>
            <w:tcMar>
              <w:bottom w:w="28" w:type="dxa"/>
            </w:tcMar>
            <w:vAlign w:val="center"/>
          </w:tcPr>
          <w:p>
            <w:pPr>
              <w:pStyle w:val="TableContents"/>
              <w:bidi w:val="0"/>
              <w:spacing w:lineRule="auto" w:line="285" w:before="1" w:after="1"/>
              <w:ind w:left="0" w:right="0" w:hanging="0"/>
              <w:jc w:val="left"/>
              <w:rPr>
                <w:rFonts w:ascii="Times New Roman;Times;serif" w:hAnsi="Times New Roman;Times;serif"/>
                <w:sz w:val="20"/>
              </w:rPr>
            </w:pPr>
            <w:r>
              <w:rPr>
                <w:rFonts w:ascii="Times New Roman;Times;serif" w:hAnsi="Times New Roman;Times;serif"/>
                <w:sz w:val="20"/>
              </w:rPr>
              <w:t>$</w:t>
            </w:r>
          </w:p>
        </w:tc>
        <w:tc>
          <w:tcPr>
            <w:tcW w:w="986" w:type="dxa"/>
            <w:tcBorders>
              <w:bottom w:val="double" w:sz="6" w:space="0" w:color="000000"/>
            </w:tcBorders>
            <w:shd w:fill="CCEEFF" w:val="clear"/>
            <w:tcMar>
              <w:bottom w:w="28" w:type="dxa"/>
            </w:tcMar>
            <w:vAlign w:val="center"/>
          </w:tcPr>
          <w:p>
            <w:pPr>
              <w:pStyle w:val="TableContents"/>
              <w:bidi w:val="0"/>
              <w:spacing w:lineRule="auto" w:line="285" w:before="1" w:after="1"/>
              <w:ind w:left="0" w:right="0" w:hanging="0"/>
              <w:jc w:val="right"/>
              <w:rPr>
                <w:rFonts w:ascii="Times New Roman;Times;serif" w:hAnsi="Times New Roman;Times;serif"/>
                <w:sz w:val="20"/>
              </w:rPr>
            </w:pPr>
            <w:r>
              <w:rPr>
                <w:rFonts w:ascii="Times New Roman;Times;serif" w:hAnsi="Times New Roman;Times;serif"/>
                <w:sz w:val="20"/>
              </w:rPr>
              <w:t>(0.90)</w:t>
            </w:r>
          </w:p>
        </w:tc>
        <w:tc>
          <w:tcPr>
            <w:tcW w:w="115"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223" w:type="dxa"/>
            <w:tcBorders>
              <w:bottom w:val="double" w:sz="6" w:space="0" w:color="000000"/>
            </w:tcBorders>
            <w:shd w:fill="CCEEFF" w:val="clear"/>
            <w:tcMar>
              <w:bottom w:w="28" w:type="dxa"/>
            </w:tcMar>
            <w:vAlign w:val="center"/>
          </w:tcPr>
          <w:p>
            <w:pPr>
              <w:pStyle w:val="TableContents"/>
              <w:bidi w:val="0"/>
              <w:spacing w:lineRule="auto" w:line="285" w:before="1" w:after="1"/>
              <w:ind w:left="0" w:right="0" w:hanging="0"/>
              <w:jc w:val="left"/>
              <w:rPr>
                <w:rFonts w:ascii="Times New Roman;Times;serif" w:hAnsi="Times New Roman;Times;serif"/>
                <w:sz w:val="20"/>
              </w:rPr>
            </w:pPr>
            <w:r>
              <w:rPr>
                <w:rFonts w:ascii="Times New Roman;Times;serif" w:hAnsi="Times New Roman;Times;serif"/>
                <w:sz w:val="20"/>
              </w:rPr>
              <w:t>$</w:t>
            </w:r>
          </w:p>
        </w:tc>
        <w:tc>
          <w:tcPr>
            <w:tcW w:w="986" w:type="dxa"/>
            <w:tcBorders>
              <w:bottom w:val="double" w:sz="6" w:space="0" w:color="000000"/>
            </w:tcBorders>
            <w:shd w:fill="CCEEFF" w:val="clear"/>
            <w:tcMar>
              <w:bottom w:w="28" w:type="dxa"/>
            </w:tcMar>
            <w:vAlign w:val="center"/>
          </w:tcPr>
          <w:p>
            <w:pPr>
              <w:pStyle w:val="TableContents"/>
              <w:bidi w:val="0"/>
              <w:spacing w:lineRule="auto" w:line="285" w:before="1" w:after="1"/>
              <w:ind w:left="0" w:right="0" w:hanging="0"/>
              <w:jc w:val="right"/>
              <w:rPr>
                <w:rFonts w:ascii="Times New Roman;Times;serif" w:hAnsi="Times New Roman;Times;serif"/>
                <w:sz w:val="20"/>
              </w:rPr>
            </w:pPr>
            <w:r>
              <w:rPr>
                <w:rFonts w:ascii="Times New Roman;Times;serif" w:hAnsi="Times New Roman;Times;serif"/>
                <w:sz w:val="20"/>
              </w:rPr>
              <w:t>(2.87)</w:t>
            </w:r>
          </w:p>
        </w:tc>
        <w:tc>
          <w:tcPr>
            <w:tcW w:w="109"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lineRule="auto" w:line="285" w:before="1" w:after="1"/>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shd w:fill="CCEEFF" w:val="clear"/>
            <w:tcMar>
              <w:bottom w:w="28" w:type="dxa"/>
            </w:tcMar>
            <w:vAlign w:val="center"/>
          </w:tcPr>
          <w:p>
            <w:pPr>
              <w:pStyle w:val="TableContents"/>
              <w:bidi w:val="0"/>
              <w:spacing w:lineRule="auto" w:line="285" w:before="1" w:after="1"/>
              <w:ind w:left="0" w:right="0" w:hanging="0"/>
              <w:jc w:val="right"/>
              <w:rPr>
                <w:rFonts w:ascii="Times New Roman;Times;serif" w:hAnsi="Times New Roman;Times;serif"/>
                <w:sz w:val="20"/>
              </w:rPr>
            </w:pPr>
            <w:r>
              <w:rPr>
                <w:rFonts w:ascii="Times New Roman;Times;serif" w:hAnsi="Times New Roman;Times;serif"/>
                <w:sz w:val="20"/>
              </w:rPr>
              <w:t>(1.69)</w:t>
            </w:r>
          </w:p>
        </w:tc>
        <w:tc>
          <w:tcPr>
            <w:tcW w:w="109"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lineRule="auto" w:line="285" w:before="1" w:after="1"/>
              <w:ind w:left="0" w:right="0" w:hanging="0"/>
              <w:jc w:val="left"/>
              <w:rPr>
                <w:rFonts w:ascii="Times New Roman;Times;serif" w:hAnsi="Times New Roman;Times;serif"/>
                <w:sz w:val="20"/>
              </w:rPr>
            </w:pPr>
            <w:r>
              <w:rPr>
                <w:rFonts w:ascii="Times New Roman;Times;serif" w:hAnsi="Times New Roman;Times;serif"/>
                <w:sz w:val="20"/>
              </w:rPr>
              <w:t>$</w:t>
            </w:r>
          </w:p>
        </w:tc>
        <w:tc>
          <w:tcPr>
            <w:tcW w:w="976" w:type="dxa"/>
            <w:tcBorders>
              <w:bottom w:val="double" w:sz="6" w:space="0" w:color="000000"/>
            </w:tcBorders>
            <w:shd w:fill="CCEEFF" w:val="clear"/>
            <w:tcMar>
              <w:bottom w:w="28" w:type="dxa"/>
            </w:tcMar>
            <w:vAlign w:val="center"/>
          </w:tcPr>
          <w:p>
            <w:pPr>
              <w:pStyle w:val="TableContents"/>
              <w:bidi w:val="0"/>
              <w:spacing w:lineRule="auto" w:line="285" w:before="1" w:after="1"/>
              <w:ind w:left="0" w:right="0" w:hanging="0"/>
              <w:jc w:val="right"/>
              <w:rPr>
                <w:rFonts w:ascii="Times New Roman;Times;serif" w:hAnsi="Times New Roman;Times;serif"/>
                <w:sz w:val="20"/>
              </w:rPr>
            </w:pPr>
            <w:r>
              <w:rPr>
                <w:rFonts w:ascii="Times New Roman;Times;serif" w:hAnsi="Times New Roman;Times;serif"/>
                <w:sz w:val="20"/>
              </w:rPr>
              <w:t>(6.59)</w:t>
            </w:r>
          </w:p>
        </w:tc>
      </w:tr>
    </w:tbl>
    <w:p>
      <w:pPr>
        <w:pStyle w:val="TextBody"/>
        <w:bidi w:val="0"/>
        <w:spacing w:lineRule="auto" w:line="285" w:before="0" w:after="0"/>
        <w:ind w:left="0" w:right="0" w:hanging="0"/>
        <w:jc w:val="left"/>
        <w:rPr/>
      </w:pPr>
      <w:r>
        <w:rPr/>
        <w:t>​</w:t>
      </w:r>
    </w:p>
    <w:p>
      <w:pPr>
        <w:pStyle w:val="TextBody"/>
        <w:pBdr/>
        <w:shd w:fill="FFFFFF" w:val="clear"/>
        <w:bidi w:val="0"/>
        <w:spacing w:lineRule="auto" w:line="285" w:before="160" w:after="0"/>
        <w:ind w:left="0" w:right="0" w:hanging="0"/>
        <w:jc w:val="both"/>
        <w:rPr>
          <w:rFonts w:ascii="Times New Roman;Times;serif" w:hAnsi="Times New Roman;Times;serif"/>
          <w:sz w:val="20"/>
        </w:rPr>
      </w:pPr>
      <w:r>
        <w:rPr>
          <w:rFonts w:ascii="Times New Roman;Times;serif" w:hAnsi="Times New Roman;Times;serif"/>
          <w:sz w:val="20"/>
        </w:rPr>
        <w:t>For each of the periods presented in the above table, our basic weighted average shares of common stock include any outstanding (i) Series B warrants issued in November 2022, (ii) pre-funded warrants issued in June 2024, May 2025 and January 2026 and (iii) vested RSUs in which their release were deferred.</w:t>
      </w:r>
    </w:p>
    <w:p>
      <w:pPr>
        <w:pStyle w:val="TextBody"/>
        <w:pBdr/>
        <w:shd w:fill="FFFFFF" w:val="clear"/>
        <w:bidi w:val="0"/>
        <w:spacing w:lineRule="auto" w:line="285" w:before="0" w:after="0"/>
        <w:ind w:left="0" w:right="0" w:hanging="0"/>
        <w:jc w:val="both"/>
        <w:rPr>
          <w:rFonts w:ascii="Times New Roman;Times;serif" w:hAnsi="Times New Roman;Times;serif"/>
          <w:sz w:val="20"/>
        </w:rPr>
      </w:pPr>
      <w:r>
        <w:rPr>
          <w:rFonts w:ascii="Times New Roman;Times;serif" w:hAnsi="Times New Roman;Times;serif"/>
          <w:sz w:val="20"/>
        </w:rPr>
        <w:t xml:space="preserve">Since we reported a net loss for the three and six months ended June 30, 2026 and 2025, our potentially dilutive securities are deemed to be anti-dilutive, accordingly, there was no effect of dilutive securities. Therefore, our basic and diluted loss per share of common stock and our basic and diluted weighted average shares of common stock are the same for the three and six months ended June 30, 2026 and 2025. </w:t>
      </w:r>
    </w:p>
    <w:p>
      <w:pPr>
        <w:pStyle w:val="TextBody"/>
        <w:shd w:fill="FFFFFF" w:val="clear"/>
        <w:bidi w:val="0"/>
        <w:spacing w:lineRule="auto" w:line="285" w:before="0" w:after="160"/>
        <w:ind w:left="0" w:right="0" w:hanging="0"/>
        <w:jc w:val="both"/>
        <w:rPr>
          <w:rFonts w:ascii="Times New Roman;Times;serif" w:hAnsi="Times New Roman;Times;serif"/>
          <w:sz w:val="20"/>
        </w:rPr>
      </w:pPr>
      <w:r>
        <w:rPr>
          <w:rFonts w:ascii="Times New Roman;Times;serif" w:hAnsi="Times New Roman;Times;serif"/>
          <w:sz w:val="20"/>
        </w:rPr>
        <w:t>The following table sets forth the potentially dilutive securities that were not included in the calculation of diluted earnings per share of common stock for three and six months ended June 30, 2026 and 2025:</w:t>
      </w:r>
    </w:p>
    <w:p>
      <w:pPr>
        <w:pStyle w:val="TextBody"/>
        <w:bidi w:val="0"/>
        <w:spacing w:lineRule="auto" w:line="285" w:before="0" w:after="0"/>
        <w:ind w:left="0" w:right="0" w:hanging="0"/>
        <w:jc w:val="left"/>
        <w:rPr/>
      </w:pPr>
      <w:r>
        <w:rPr/>
        <w:t>​</w:t>
      </w:r>
    </w:p>
    <w:tbl>
      <w:tblPr>
        <w:tblW w:w="3528" w:type="dxa"/>
        <w:jc w:val="left"/>
        <w:tblInd w:w="0" w:type="dxa"/>
        <w:tblLayout w:type="fixed"/>
        <w:tblCellMar>
          <w:top w:w="0" w:type="dxa"/>
          <w:left w:w="0" w:type="dxa"/>
          <w:bottom w:w="0" w:type="dxa"/>
          <w:right w:w="0" w:type="dxa"/>
        </w:tblCellMar>
      </w:tblPr>
      <w:tblGrid>
        <w:gridCol w:w="1246"/>
        <w:gridCol w:w="346"/>
        <w:gridCol w:w="931"/>
        <w:gridCol w:w="109"/>
        <w:gridCol w:w="896"/>
      </w:tblGrid>
      <w:tr>
        <w:trPr/>
        <w:tc>
          <w:tcPr>
            <w:tcW w:w="12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791210" cy="175260"/>
                      <wp:effectExtent l="0" t="0" r="0" b="0"/>
                      <wp:wrapNone/>
                      <wp:docPr id="139" name="Frame138"/>
                      <a:graphic xmlns:a="http://schemas.openxmlformats.org/drawingml/2006/main">
                        <a:graphicData uri="http://schemas.microsoft.com/office/word/2010/wordprocessingShape">
                          <wps:wsp>
                            <wps:cNvSpPr txBox="1"/>
                            <wps:spPr>
                              <a:xfrm>
                                <a:off x="0" y="0"/>
                                <a:ext cx="7912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219710" cy="175260"/>
                      <wp:effectExtent l="0" t="0" r="0" b="0"/>
                      <wp:wrapNone/>
                      <wp:docPr id="140" name="Frame13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591185" cy="175260"/>
                      <wp:effectExtent l="0" t="0" r="0" b="0"/>
                      <wp:wrapNone/>
                      <wp:docPr id="141" name="Frame140"/>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69215" cy="175260"/>
                      <wp:effectExtent l="0" t="0" r="0" b="0"/>
                      <wp:wrapNone/>
                      <wp:docPr id="142" name="Frame14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8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568960" cy="175260"/>
                      <wp:effectExtent l="0" t="0" r="0" b="0"/>
                      <wp:wrapNone/>
                      <wp:docPr id="143" name="Frame142"/>
                      <a:graphic xmlns:a="http://schemas.openxmlformats.org/drawingml/2006/main">
                        <a:graphicData uri="http://schemas.microsoft.com/office/word/2010/wordprocessingShape">
                          <wps:wsp>
                            <wps:cNvSpPr txBox="1"/>
                            <wps:spPr>
                              <a:xfrm>
                                <a:off x="0" y="0"/>
                                <a:ext cx="56896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r>
      <w:tr>
        <w:trPr/>
        <w:tc>
          <w:tcPr>
            <w:tcW w:w="1246"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1936" w:type="dxa"/>
            <w:gridSpan w:val="3"/>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As of June 30,</w:t>
            </w:r>
          </w:p>
        </w:tc>
      </w:tr>
      <w:tr>
        <w:trPr/>
        <w:tc>
          <w:tcPr>
            <w:tcW w:w="1246"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346"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  ​ ​ ​</w:t>
            </w:r>
          </w:p>
        </w:tc>
        <w:tc>
          <w:tcPr>
            <w:tcW w:w="931" w:type="dxa"/>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2026</w:t>
            </w:r>
          </w:p>
        </w:tc>
        <w:tc>
          <w:tcPr>
            <w:tcW w:w="109" w:type="dxa"/>
            <w:tcBorders>
              <w:bottom w:val="single" w:sz="2" w:space="0" w:color="000000"/>
            </w:tcBorders>
            <w:tcMar>
              <w:bottom w:w="28" w:type="dxa"/>
            </w:tcMar>
            <w:vAlign w:val="center"/>
          </w:tcPr>
          <w:p>
            <w:pPr>
              <w:pStyle w:val="TableContents"/>
              <w:bidi w:val="0"/>
              <w:spacing w:lineRule="auto" w:line="285" w:before="0" w:after="0"/>
              <w:ind w:left="0" w:right="0" w:hanging="0"/>
              <w:jc w:val="center"/>
              <w:rPr/>
            </w:pPr>
            <w:r>
              <w:rPr/>
              <w:t>​</w:t>
            </w:r>
          </w:p>
        </w:tc>
        <w:tc>
          <w:tcPr>
            <w:tcW w:w="896" w:type="dxa"/>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2025</w:t>
            </w:r>
          </w:p>
        </w:tc>
      </w:tr>
      <w:tr>
        <w:trPr/>
        <w:tc>
          <w:tcPr>
            <w:tcW w:w="124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Stock options</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93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420</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896"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420</w:t>
            </w:r>
          </w:p>
        </w:tc>
      </w:tr>
      <w:tr>
        <w:trPr/>
        <w:tc>
          <w:tcPr>
            <w:tcW w:w="1246"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RSUs</w:t>
            </w:r>
          </w:p>
        </w:tc>
        <w:tc>
          <w:tcPr>
            <w:tcW w:w="346" w:type="dxa"/>
            <w:tcBorders/>
            <w:vAlign w:val="center"/>
          </w:tcPr>
          <w:p>
            <w:pPr>
              <w:pStyle w:val="TableContents"/>
              <w:bidi w:val="0"/>
              <w:spacing w:lineRule="auto" w:line="285" w:before="0" w:after="0"/>
              <w:ind w:left="0" w:right="0" w:hanging="0"/>
              <w:jc w:val="left"/>
              <w:rPr/>
            </w:pPr>
            <w:r>
              <w:rPr/>
              <w:t>​</w:t>
            </w:r>
          </w:p>
        </w:tc>
        <w:tc>
          <w:tcPr>
            <w:tcW w:w="931"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222,612</w:t>
            </w:r>
          </w:p>
        </w:tc>
        <w:tc>
          <w:tcPr>
            <w:tcW w:w="109" w:type="dxa"/>
            <w:tcBorders/>
            <w:vAlign w:val="center"/>
          </w:tcPr>
          <w:p>
            <w:pPr>
              <w:pStyle w:val="TableContents"/>
              <w:bidi w:val="0"/>
              <w:spacing w:lineRule="auto" w:line="285" w:before="0" w:after="0"/>
              <w:ind w:left="0" w:right="0" w:hanging="0"/>
              <w:jc w:val="left"/>
              <w:rPr/>
            </w:pPr>
            <w:r>
              <w:rPr/>
              <w:t>​</w:t>
            </w:r>
          </w:p>
        </w:tc>
        <w:tc>
          <w:tcPr>
            <w:tcW w:w="896"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21,951</w:t>
            </w:r>
          </w:p>
        </w:tc>
      </w:tr>
      <w:tr>
        <w:trPr/>
        <w:tc>
          <w:tcPr>
            <w:tcW w:w="124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Warrants</w:t>
            </w:r>
          </w:p>
        </w:tc>
        <w:tc>
          <w:tcPr>
            <w:tcW w:w="34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93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8,943,612</w:t>
            </w:r>
          </w:p>
        </w:tc>
        <w:tc>
          <w:tcPr>
            <w:tcW w:w="109"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896" w:type="dxa"/>
            <w:tcBorders>
              <w:bottom w:val="single" w:sz="2" w:space="0" w:color="000000"/>
            </w:tcBorders>
            <w:shd w:fill="CCEEFF" w:val="clear"/>
            <w:tcMar>
              <w:bottom w:w="28" w:type="dxa"/>
            </w:tcMar>
            <w:vAlign w:val="center"/>
          </w:tcPr>
          <w:p>
            <w:pPr>
              <w:pStyle w:val="TableContents"/>
              <w:bidi w:val="0"/>
              <w:spacing w:lineRule="auto" w:line="285" w:before="0" w:after="0"/>
              <w:ind w:left="0" w:right="70" w:hanging="0"/>
              <w:jc w:val="right"/>
              <w:rPr>
                <w:rFonts w:ascii="Times New Roman;Times;serif" w:hAnsi="Times New Roman;Times;serif"/>
                <w:sz w:val="20"/>
              </w:rPr>
            </w:pPr>
            <w:r>
              <w:rPr>
                <w:rFonts w:ascii="Times New Roman;Times;serif" w:hAnsi="Times New Roman;Times;serif"/>
                <w:sz w:val="20"/>
              </w:rPr>
              <w:t>706,477</w:t>
            </w:r>
          </w:p>
        </w:tc>
      </w:tr>
    </w:tbl>
    <w:p>
      <w:pPr>
        <w:pStyle w:val="TextBody"/>
        <w:bidi w:val="0"/>
        <w:spacing w:lineRule="auto" w:line="285" w:before="0" w:after="0"/>
        <w:ind w:left="0" w:right="0" w:hanging="0"/>
        <w:jc w:val="both"/>
        <w:rPr/>
      </w:pPr>
      <w:r>
        <w:rPr/>
        <w:t>​</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pPr>
      <w:r>
        <w:rPr/>
        <w:t>​</w:t>
      </w:r>
    </w:p>
    <w:p>
      <w:pPr>
        <w:pStyle w:val="TextBody"/>
        <w:bidi w:val="0"/>
        <w:spacing w:lineRule="auto" w:line="285" w:before="0" w:after="20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11.</w:t>
      </w:r>
      <w:r>
        <w:rPr>
          <w:rFonts w:ascii="Times New Roman;Times;serif" w:hAnsi="Times New Roman;Times;serif"/>
          <w:b/>
          <w:sz w:val="20"/>
        </w:rPr>
        <w:t>Fair value of financial instruments</w:t>
      </w:r>
    </w:p>
    <w:p>
      <w:pPr>
        <w:pStyle w:val="TextBody"/>
        <w:bidi w:val="0"/>
        <w:spacing w:lineRule="auto" w:line="285" w:before="0" w:after="160"/>
        <w:ind w:left="0" w:right="0" w:hanging="0"/>
        <w:jc w:val="both"/>
        <w:rPr>
          <w:rFonts w:ascii="Times New Roman;Times;serif" w:hAnsi="Times New Roman;Times;serif"/>
          <w:sz w:val="20"/>
        </w:rPr>
      </w:pPr>
      <w:r>
        <w:rPr>
          <w:rFonts w:ascii="Times New Roman;Times;serif" w:hAnsi="Times New Roman;Times;serif"/>
          <w:sz w:val="20"/>
        </w:rPr>
        <w:t>Fair value is a market-based measurement, not an entity specific measurement and is defined as “the price that would be received to sell an asset or paid to transfer a liability in an orderly transaction between market participants at the measurement date.” Fair value measurements are defined on a three-level hierarchy:</w:t>
      </w:r>
    </w:p>
    <w:tbl>
      <w:tblPr>
        <w:tblW w:w="7191" w:type="dxa"/>
        <w:jc w:val="left"/>
        <w:tblInd w:w="0" w:type="dxa"/>
        <w:tblLayout w:type="fixed"/>
        <w:tblCellMar>
          <w:top w:w="0" w:type="dxa"/>
          <w:left w:w="0" w:type="dxa"/>
          <w:bottom w:w="0" w:type="dxa"/>
          <w:right w:w="0" w:type="dxa"/>
        </w:tblCellMar>
      </w:tblPr>
      <w:tblGrid>
        <w:gridCol w:w="124"/>
        <w:gridCol w:w="781"/>
        <w:gridCol w:w="6286"/>
      </w:tblGrid>
      <w:tr>
        <w:trPr/>
        <w:tc>
          <w:tcPr>
            <w:tcW w:w="124"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lineRule="auto" w:line="285" w:before="0" w:after="160"/>
              <w:jc w:val="both"/>
              <w:rPr>
                <w:rFonts w:ascii="Times New Roman;Times;serif" w:hAnsi="Times New Roman;Times;serif"/>
                <w:sz w:val="20"/>
              </w:rPr>
            </w:pPr>
            <w:r>
              <w:rPr>
                <w:rFonts w:ascii="Times New Roman;Times;serif" w:hAnsi="Times New Roman;Times;serif"/>
                <w:sz w:val="20"/>
              </w:rPr>
              <w:t>Level 1:</w:t>
            </w:r>
          </w:p>
        </w:tc>
        <w:tc>
          <w:tcPr>
            <w:tcW w:w="6286" w:type="dxa"/>
            <w:tcBorders/>
            <w:vAlign w:val="center"/>
          </w:tcPr>
          <w:p>
            <w:pPr>
              <w:pStyle w:val="TableContents"/>
              <w:bidi w:val="0"/>
              <w:spacing w:lineRule="auto" w:line="285" w:before="0" w:after="160"/>
              <w:jc w:val="both"/>
              <w:rPr>
                <w:rFonts w:ascii="Times New Roman;Times;serif" w:hAnsi="Times New Roman;Times;serif"/>
                <w:sz w:val="20"/>
              </w:rPr>
            </w:pPr>
            <w:r>
              <w:rPr>
                <w:rFonts w:ascii="Times New Roman;Times;serif" w:hAnsi="Times New Roman;Times;serif"/>
                <w:sz w:val="20"/>
              </w:rPr>
              <w:t>Unadjusted quoted prices for identical assets or liabilities in active markets;</w:t>
            </w:r>
          </w:p>
        </w:tc>
      </w:tr>
    </w:tbl>
    <w:tbl>
      <w:tblPr>
        <w:tblW w:w="10205" w:type="dxa"/>
        <w:jc w:val="left"/>
        <w:tblInd w:w="0" w:type="dxa"/>
        <w:tblLayout w:type="fixed"/>
        <w:tblCellMar>
          <w:top w:w="0" w:type="dxa"/>
          <w:left w:w="0" w:type="dxa"/>
          <w:bottom w:w="0" w:type="dxa"/>
          <w:right w:w="0" w:type="dxa"/>
        </w:tblCellMar>
      </w:tblPr>
      <w:tblGrid>
        <w:gridCol w:w="124"/>
        <w:gridCol w:w="749"/>
        <w:gridCol w:w="9332"/>
      </w:tblGrid>
      <w:tr>
        <w:trPr/>
        <w:tc>
          <w:tcPr>
            <w:tcW w:w="124"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lineRule="auto" w:line="285" w:before="0" w:after="160"/>
              <w:jc w:val="both"/>
              <w:rPr>
                <w:rFonts w:ascii="Times New Roman;Times;serif" w:hAnsi="Times New Roman;Times;serif"/>
                <w:sz w:val="20"/>
              </w:rPr>
            </w:pPr>
            <w:r>
              <w:rPr>
                <w:rFonts w:ascii="Times New Roman;Times;serif" w:hAnsi="Times New Roman;Times;serif"/>
                <w:sz w:val="20"/>
              </w:rPr>
              <w:t>Level 2:</w:t>
            </w:r>
          </w:p>
        </w:tc>
        <w:tc>
          <w:tcPr>
            <w:tcW w:w="9332" w:type="dxa"/>
            <w:tcBorders/>
            <w:vAlign w:val="center"/>
          </w:tcPr>
          <w:p>
            <w:pPr>
              <w:pStyle w:val="TableContents"/>
              <w:bidi w:val="0"/>
              <w:spacing w:lineRule="auto" w:line="285" w:before="0" w:after="160"/>
              <w:jc w:val="both"/>
              <w:rPr>
                <w:rFonts w:ascii="Times New Roman;Times;serif" w:hAnsi="Times New Roman;Times;serif"/>
                <w:sz w:val="20"/>
              </w:rPr>
            </w:pPr>
            <w:r>
              <w:rPr>
                <w:rFonts w:ascii="Times New Roman;Times;serif" w:hAnsi="Times New Roman;Times;serif"/>
                <w:sz w:val="20"/>
              </w:rPr>
              <w:t>Quoted prices for similar assets and liabilities in active markets, quoted prices in markets that are not active, or inputs which are observable, whether directly or indirectly, for substantially the full term of the asset or liability; and</w:t>
            </w:r>
          </w:p>
        </w:tc>
      </w:tr>
    </w:tbl>
    <w:p>
      <w:pPr>
        <w:pStyle w:val="TextBody"/>
        <w:pBdr/>
        <w:bidi w:val="0"/>
        <w:spacing w:lineRule="auto" w:line="285" w:before="0" w:after="160"/>
        <w:ind w:left="720" w:right="0" w:hanging="720"/>
        <w:jc w:val="both"/>
        <w:rPr>
          <w:rFonts w:ascii="Times New Roman;Times;serif" w:hAnsi="Times New Roman;Times;serif"/>
          <w:sz w:val="20"/>
        </w:rPr>
      </w:pPr>
      <w:r>
        <w:rPr>
          <w:rFonts w:ascii="Times New Roman;Times;serif" w:hAnsi="Times New Roman;Times;serif"/>
          <w:sz w:val="20"/>
        </w:rPr>
        <w:t xml:space="preserve">Level 3: Unobservable inputs that reflect our own assumptions about the assumptions market participants would use in pricing the asset or liability in which there is little, if any, market activity for the asset or liability at the measurement date. </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16</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MetaVia Inc.</w:t>
      </w:r>
    </w:p>
    <w:p>
      <w:pPr>
        <w:pStyle w:val="TextBody"/>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Notes to the Condensed Consolidated Financial Statements</w:t>
      </w:r>
    </w:p>
    <w:p>
      <w:pPr>
        <w:pStyle w:val="TextBody"/>
        <w:bidi w:val="0"/>
        <w:spacing w:lineRule="auto" w:line="285" w:before="0" w:after="0"/>
        <w:ind w:left="0" w:right="0" w:hanging="0"/>
        <w:jc w:val="center"/>
        <w:rPr>
          <w:rFonts w:ascii="Times New Roman;Times;serif" w:hAnsi="Times New Roman;Times;serif"/>
          <w:sz w:val="16"/>
        </w:rPr>
      </w:pPr>
      <w:r>
        <w:rPr>
          <w:rFonts w:ascii="Times New Roman;Times;serif" w:hAnsi="Times New Roman;Times;serif"/>
          <w:sz w:val="16"/>
        </w:rPr>
        <w:t>(Unaudited)</w:t>
      </w:r>
    </w:p>
    <w:p>
      <w:pPr>
        <w:pStyle w:val="TextBody"/>
        <w:bidi w:val="0"/>
        <w:spacing w:lineRule="auto" w:line="285" w:before="0" w:after="0"/>
        <w:ind w:left="0" w:right="0" w:hanging="0"/>
        <w:jc w:val="left"/>
        <w:rPr/>
      </w:pPr>
      <w:r>
        <w:rPr/>
        <w:t>​</w:t>
      </w:r>
    </w:p>
    <w:p>
      <w:pPr>
        <w:pStyle w:val="TextBody"/>
        <w:bidi w:val="0"/>
        <w:spacing w:lineRule="auto" w:line="285" w:before="0" w:after="160"/>
        <w:ind w:left="0" w:right="0" w:hanging="0"/>
        <w:jc w:val="both"/>
        <w:rPr>
          <w:rFonts w:ascii="Times New Roman;Times;serif" w:hAnsi="Times New Roman;Times;serif"/>
          <w:sz w:val="20"/>
        </w:rPr>
      </w:pPr>
      <w:bookmarkStart w:id="738" w:name="Tc_jv20R92FxkSVCy-0G-ZQ1Q_9_24"/>
      <w:bookmarkStart w:id="739" w:name="Tc_QkBv1wAG402xHw35Bta_3g_9_23"/>
      <w:bookmarkStart w:id="740" w:name="Tc_pvtFnwRoRU6t-mruCc-cMg_9_20"/>
      <w:bookmarkStart w:id="741" w:name="Tc_l7QIfzizA0afM_39y3QPWQ_9_18"/>
      <w:bookmarkStart w:id="742" w:name="Tc_wWP4c0puDEWx1iP48MV8jg_9_17"/>
      <w:bookmarkStart w:id="743" w:name="Tc_UARU8IZc5EmafGGyNfRIAA_9_14"/>
      <w:bookmarkStart w:id="744" w:name="Tc_x9A8yhQ170qV2si_nUwtAA_9_12"/>
      <w:bookmarkStart w:id="745" w:name="Tc_0tNaRE4QfU2o7HbFQbY8hQ_9_11"/>
      <w:bookmarkStart w:id="746" w:name="Tc_v_lo_D0mpkqGiLeG89ayXQ_9_8"/>
      <w:bookmarkStart w:id="747" w:name="Tc_UT51PHtErka6KywaRkiZkw_9_6"/>
      <w:bookmarkStart w:id="748" w:name="Tc_M_jkf6n0eE6Jpw536qdTJQ_9_5"/>
      <w:bookmarkStart w:id="749" w:name="Tc_-6wdaVjs-UWZgFebo-9cWA_9_2"/>
      <w:bookmarkStart w:id="750" w:name="Tc_LpDZ4ivsxki0lAowjg6RxA_9_0"/>
      <w:bookmarkStart w:id="751" w:name="Tc_ZxSaJELohECcT8G0BC5jPA_8_24"/>
      <w:bookmarkStart w:id="752" w:name="Tc_R2i6R5zxeUWs_rWUpNJcbg_8_23"/>
      <w:bookmarkStart w:id="753" w:name="Tc_gZSOSYE0GUytaoY8LDnmzw_8_20"/>
      <w:bookmarkStart w:id="754" w:name="Tc_zdCh1ZLNSE-r7ElJvm3EcA_8_18"/>
      <w:bookmarkStart w:id="755" w:name="Tc_MJwonSgQE0KYdUeVQEhdAw_8_17"/>
      <w:bookmarkStart w:id="756" w:name="Tc__Xq8L-z2kE6tweh73kNAvw_8_14"/>
      <w:bookmarkStart w:id="757" w:name="Tc_wDAAaq1Xi0WS3-BvrTN7AA_8_12"/>
      <w:bookmarkStart w:id="758" w:name="Tc_R_Sq4jh0S0qplzIhTVqyFg_8_11"/>
      <w:bookmarkStart w:id="759" w:name="Tc_tJENiqRJm0isuMfPzmTpnw_8_8"/>
      <w:bookmarkStart w:id="760" w:name="Tc_dEuW16zUAUy6Sb_GPOePsA_8_6"/>
      <w:bookmarkStart w:id="761" w:name="Tc_aHveeMtyE0e738qfCBNEeQ_8_5"/>
      <w:bookmarkStart w:id="762" w:name="Tc_HE_fmaVwNU-5SrJDALPuwQ_8_2"/>
      <w:bookmarkStart w:id="763" w:name="Tc_NaJqHW4nN0OrAWGcG3DWdA_8_0"/>
      <w:bookmarkStart w:id="764" w:name="Tc_DUlUgHZ7mk6xHsOb2kixgg_7_0"/>
      <w:bookmarkStart w:id="765" w:name="Tc_ALlkCYufqUuKXWHOUMseLg_5_24"/>
      <w:bookmarkStart w:id="766" w:name="Tc_brFKI7bas0CfbxkPYu7V5g_5_23"/>
      <w:bookmarkStart w:id="767" w:name="Tc_QlRnvlFYl0e3p4nPmqEY7Q_5_21"/>
      <w:bookmarkStart w:id="768" w:name="Tc_fL4CzveaBkqXVn-YdDkmaw_5_20"/>
      <w:bookmarkStart w:id="769" w:name="Tc_5a3tK2oh3EOQn5zsa5DSZw_5_17"/>
      <w:bookmarkStart w:id="770" w:name="Tc_ejpzX69Sp0egS5AZkQP2-Q_5_14"/>
      <w:bookmarkStart w:id="771" w:name="Tc_5L-GtiAirU6io9doCusZow_5_12"/>
      <w:bookmarkStart w:id="772" w:name="Tc_pheDD37JlEuipxmhWd00Ng_5_11"/>
      <w:bookmarkStart w:id="773" w:name="Tc_f1KGe1oRCUCVDDNk6niSCA_5_9"/>
      <w:bookmarkStart w:id="774" w:name="Tc_QuXi9gSdBkuC-DWVHchByw_5_8"/>
      <w:bookmarkStart w:id="775" w:name="Tc_Q4xv-Xdrz0OWciMWkooFtw_5_5"/>
      <w:bookmarkStart w:id="776" w:name="Tc_QEk3m-wd70ev9KJgbzB9kA_5_2"/>
      <w:bookmarkStart w:id="777" w:name="Tc_8O1GCT7_JUSrzEnLH0-yyg_5_0"/>
      <w:bookmarkStart w:id="778" w:name="Tc_pYw0rJPcAUSIYqyZeLCjrw_4_24"/>
      <w:bookmarkStart w:id="779" w:name="Tc_74cyAhMBhUaS5Axlxfp2mg_4_23"/>
      <w:bookmarkStart w:id="780" w:name="Tc_FBaA0SmdFEK-nuBWBcAFTg_4_21"/>
      <w:bookmarkStart w:id="781" w:name="Tc_vJLM5jq7vEGn3OPJe55rSg_4_20"/>
      <w:bookmarkStart w:id="782" w:name="Tc_CkAZRSi_pEaCt0PL0x_K7g_4_17"/>
      <w:bookmarkStart w:id="783" w:name="Tc_Q9dgZz6_8UKahtlYqcPUJg_4_14"/>
      <w:bookmarkStart w:id="784" w:name="Tc_NAb7Xh6PE0aEtS6sz-DTgA_4_12"/>
      <w:bookmarkStart w:id="785" w:name="Tc_LuUxBo9uu0u3YiDspKk6ZQ_4_11"/>
      <w:bookmarkStart w:id="786" w:name="Tc_C1m4R-fI5UOPtIDiRApeuQ_4_9"/>
      <w:bookmarkStart w:id="787" w:name="Tc_HQY7yUJ1vE6xgq1xvvMPOQ_4_8"/>
      <w:bookmarkStart w:id="788" w:name="Tc_2lfxa6O5sU-ROOIid4bocw_4_5"/>
      <w:bookmarkStart w:id="789" w:name="Tc_L_8S-mfV0kyeaFSOd-FOxw_4_2"/>
      <w:bookmarkStart w:id="790" w:name="Tc_8qanGW1pQEOMGCPyOnZOeA_4_0"/>
      <w:bookmarkStart w:id="791" w:name="Tc_f8A9-Ax1ZUCOetBLbCHzNw_3_0"/>
      <w:bookmarkStart w:id="792" w:name="Tc_esTHXp3RUku-UtGZjb0MOw_2_23"/>
      <w:bookmarkStart w:id="793" w:name="Tc_DF2JLtW1pUyJdg7UAamAzw_2_20"/>
      <w:bookmarkStart w:id="794" w:name="Tc_JdrPskVbqkiqkRW9xZ-A0g_2_17"/>
      <w:bookmarkStart w:id="795" w:name="Tc_5leEqadOlkWI3qD2kHGP6g_2_14"/>
      <w:bookmarkStart w:id="796" w:name="Tc_Y2zim1jR1UyMIvOastSBcA_2_11"/>
      <w:bookmarkStart w:id="797" w:name="Tc_Uz0huX37uUOE4yUv-aFcug_2_8"/>
      <w:bookmarkStart w:id="798" w:name="Tc_phH5n2gDgkOb1TwyQEmOqQ_2_5"/>
      <w:bookmarkStart w:id="799" w:name="Tc_kv5t1q8CJ0iWxsQq1zm5Xw_2_2"/>
      <w:bookmarkStart w:id="800" w:name="Tc_5iGjdxgBnEWwISjS5HTbGw_2_0"/>
      <w:bookmarkStart w:id="801" w:name="Tc_Ds1IPGHYSUmPc72Zr4OSQQ_1_14"/>
      <w:bookmarkStart w:id="802" w:name="Tc_nvpnAc_9IUePLpmFu0CeoA_1_2"/>
      <w:bookmarkStart w:id="803" w:name="_3b3cd77d_aef6_46d5_93f4_297337f2e97b"/>
      <w:bookmarkEnd w:id="738"/>
      <w:bookmarkEnd w:id="739"/>
      <w:bookmarkEnd w:id="740"/>
      <w:bookmarkEnd w:id="741"/>
      <w:bookmarkEnd w:id="742"/>
      <w:bookmarkEnd w:id="743"/>
      <w:bookmarkEnd w:id="744"/>
      <w:bookmarkEnd w:id="745"/>
      <w:bookmarkEnd w:id="746"/>
      <w:bookmarkEnd w:id="747"/>
      <w:bookmarkEnd w:id="748"/>
      <w:bookmarkEnd w:id="749"/>
      <w:bookmarkEnd w:id="750"/>
      <w:bookmarkEnd w:id="751"/>
      <w:bookmarkEnd w:id="752"/>
      <w:bookmarkEnd w:id="753"/>
      <w:bookmarkEnd w:id="754"/>
      <w:bookmarkEnd w:id="755"/>
      <w:bookmarkEnd w:id="756"/>
      <w:bookmarkEnd w:id="757"/>
      <w:bookmarkEnd w:id="758"/>
      <w:bookmarkEnd w:id="759"/>
      <w:bookmarkEnd w:id="760"/>
      <w:bookmarkEnd w:id="761"/>
      <w:bookmarkEnd w:id="762"/>
      <w:bookmarkEnd w:id="763"/>
      <w:bookmarkEnd w:id="764"/>
      <w:bookmarkEnd w:id="765"/>
      <w:bookmarkEnd w:id="766"/>
      <w:bookmarkEnd w:id="767"/>
      <w:bookmarkEnd w:id="768"/>
      <w:bookmarkEnd w:id="769"/>
      <w:bookmarkEnd w:id="770"/>
      <w:bookmarkEnd w:id="771"/>
      <w:bookmarkEnd w:id="772"/>
      <w:bookmarkEnd w:id="773"/>
      <w:bookmarkEnd w:id="774"/>
      <w:bookmarkEnd w:id="775"/>
      <w:bookmarkEnd w:id="776"/>
      <w:bookmarkEnd w:id="777"/>
      <w:bookmarkEnd w:id="778"/>
      <w:bookmarkEnd w:id="779"/>
      <w:bookmarkEnd w:id="780"/>
      <w:bookmarkEnd w:id="781"/>
      <w:bookmarkEnd w:id="782"/>
      <w:bookmarkEnd w:id="783"/>
      <w:bookmarkEnd w:id="784"/>
      <w:bookmarkEnd w:id="785"/>
      <w:bookmarkEnd w:id="786"/>
      <w:bookmarkEnd w:id="787"/>
      <w:bookmarkEnd w:id="788"/>
      <w:bookmarkEnd w:id="789"/>
      <w:bookmarkEnd w:id="790"/>
      <w:bookmarkEnd w:id="791"/>
      <w:bookmarkEnd w:id="792"/>
      <w:bookmarkEnd w:id="793"/>
      <w:bookmarkEnd w:id="794"/>
      <w:bookmarkEnd w:id="795"/>
      <w:bookmarkEnd w:id="796"/>
      <w:bookmarkEnd w:id="797"/>
      <w:bookmarkEnd w:id="798"/>
      <w:bookmarkEnd w:id="799"/>
      <w:bookmarkEnd w:id="800"/>
      <w:bookmarkEnd w:id="801"/>
      <w:bookmarkEnd w:id="802"/>
      <w:bookmarkEnd w:id="803"/>
      <w:r>
        <w:rPr>
          <w:rFonts w:ascii="Times New Roman;Times;serif" w:hAnsi="Times New Roman;Times;serif"/>
          <w:sz w:val="20"/>
        </w:rPr>
        <w:t xml:space="preserve">The following table sets forth our financial assets and liabilities, subject to fair value measurements on a recurring basis, by level within the fair value hierarchy </w:t>
      </w:r>
      <w:r>
        <w:rPr>
          <w:rFonts w:ascii="Times New Roman;Times;serif" w:hAnsi="Times New Roman;Times;serif"/>
          <w:sz w:val="20"/>
          <w:shd w:fill="FFFFFF" w:val="clear"/>
        </w:rPr>
        <w:t>(in thousands)</w:t>
      </w:r>
      <w:r>
        <w:rPr>
          <w:rFonts w:ascii="Times New Roman;Times;serif" w:hAnsi="Times New Roman;Times;serif"/>
          <w:sz w:val="20"/>
        </w:rPr>
        <w:t>:</w:t>
      </w:r>
    </w:p>
    <w:tbl>
      <w:tblPr>
        <w:tblW w:w="10205" w:type="dxa"/>
        <w:jc w:val="left"/>
        <w:tblInd w:w="0" w:type="dxa"/>
        <w:tblLayout w:type="fixed"/>
        <w:tblCellMar>
          <w:top w:w="0" w:type="dxa"/>
          <w:left w:w="0" w:type="dxa"/>
          <w:bottom w:w="0" w:type="dxa"/>
          <w:right w:w="0" w:type="dxa"/>
        </w:tblCellMar>
      </w:tblPr>
      <w:tblGrid>
        <w:gridCol w:w="1170"/>
        <w:gridCol w:w="346"/>
        <w:gridCol w:w="211"/>
        <w:gridCol w:w="676"/>
        <w:gridCol w:w="346"/>
        <w:gridCol w:w="211"/>
        <w:gridCol w:w="676"/>
        <w:gridCol w:w="346"/>
        <w:gridCol w:w="273"/>
        <w:gridCol w:w="448"/>
        <w:gridCol w:w="346"/>
        <w:gridCol w:w="273"/>
        <w:gridCol w:w="448"/>
        <w:gridCol w:w="346"/>
        <w:gridCol w:w="211"/>
        <w:gridCol w:w="571"/>
        <w:gridCol w:w="346"/>
        <w:gridCol w:w="211"/>
        <w:gridCol w:w="571"/>
        <w:gridCol w:w="346"/>
        <w:gridCol w:w="240"/>
        <w:gridCol w:w="481"/>
        <w:gridCol w:w="346"/>
        <w:gridCol w:w="240"/>
        <w:gridCol w:w="526"/>
      </w:tblGrid>
      <w:tr>
        <w:trPr/>
        <w:tc>
          <w:tcPr>
            <w:tcW w:w="117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742950" cy="175260"/>
                      <wp:effectExtent l="0" t="0" r="0" b="0"/>
                      <wp:wrapNone/>
                      <wp:docPr id="144" name="Frame143"/>
                      <a:graphic xmlns:a="http://schemas.openxmlformats.org/drawingml/2006/main">
                        <a:graphicData uri="http://schemas.microsoft.com/office/word/2010/wordprocessingShape">
                          <wps:wsp>
                            <wps:cNvSpPr txBox="1"/>
                            <wps:spPr>
                              <a:xfrm>
                                <a:off x="0" y="0"/>
                                <a:ext cx="74295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219710" cy="175260"/>
                      <wp:effectExtent l="0" t="0" r="0" b="0"/>
                      <wp:wrapNone/>
                      <wp:docPr id="145" name="Frame14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133985" cy="175260"/>
                      <wp:effectExtent l="0" t="0" r="0" b="0"/>
                      <wp:wrapNone/>
                      <wp:docPr id="146" name="Frame14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8">
                      <wp:simplePos x="0" y="0"/>
                      <wp:positionH relativeFrom="character">
                        <wp:align>left</wp:align>
                      </wp:positionH>
                      <wp:positionV relativeFrom="line">
                        <wp:posOffset>635</wp:posOffset>
                      </wp:positionV>
                      <wp:extent cx="429260" cy="175260"/>
                      <wp:effectExtent l="0" t="0" r="0" b="0"/>
                      <wp:wrapNone/>
                      <wp:docPr id="147" name="Frame146"/>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9">
                      <wp:simplePos x="0" y="0"/>
                      <wp:positionH relativeFrom="character">
                        <wp:align>left</wp:align>
                      </wp:positionH>
                      <wp:positionV relativeFrom="line">
                        <wp:posOffset>635</wp:posOffset>
                      </wp:positionV>
                      <wp:extent cx="219710" cy="175260"/>
                      <wp:effectExtent l="0" t="0" r="0" b="0"/>
                      <wp:wrapNone/>
                      <wp:docPr id="148" name="Frame14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0">
                      <wp:simplePos x="0" y="0"/>
                      <wp:positionH relativeFrom="character">
                        <wp:align>left</wp:align>
                      </wp:positionH>
                      <wp:positionV relativeFrom="line">
                        <wp:posOffset>635</wp:posOffset>
                      </wp:positionV>
                      <wp:extent cx="133985" cy="175260"/>
                      <wp:effectExtent l="0" t="0" r="0" b="0"/>
                      <wp:wrapNone/>
                      <wp:docPr id="149" name="Frame14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1">
                      <wp:simplePos x="0" y="0"/>
                      <wp:positionH relativeFrom="character">
                        <wp:align>left</wp:align>
                      </wp:positionH>
                      <wp:positionV relativeFrom="line">
                        <wp:posOffset>635</wp:posOffset>
                      </wp:positionV>
                      <wp:extent cx="429260" cy="175260"/>
                      <wp:effectExtent l="0" t="0" r="0" b="0"/>
                      <wp:wrapNone/>
                      <wp:docPr id="150" name="Frame149"/>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2">
                      <wp:simplePos x="0" y="0"/>
                      <wp:positionH relativeFrom="character">
                        <wp:align>left</wp:align>
                      </wp:positionH>
                      <wp:positionV relativeFrom="line">
                        <wp:posOffset>635</wp:posOffset>
                      </wp:positionV>
                      <wp:extent cx="219710" cy="175260"/>
                      <wp:effectExtent l="0" t="0" r="0" b="0"/>
                      <wp:wrapNone/>
                      <wp:docPr id="151" name="Frame15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7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3">
                      <wp:simplePos x="0" y="0"/>
                      <wp:positionH relativeFrom="character">
                        <wp:align>left</wp:align>
                      </wp:positionH>
                      <wp:positionV relativeFrom="line">
                        <wp:posOffset>635</wp:posOffset>
                      </wp:positionV>
                      <wp:extent cx="173355" cy="175260"/>
                      <wp:effectExtent l="0" t="0" r="0" b="0"/>
                      <wp:wrapNone/>
                      <wp:docPr id="152" name="Frame151"/>
                      <a:graphic xmlns:a="http://schemas.openxmlformats.org/drawingml/2006/main">
                        <a:graphicData uri="http://schemas.microsoft.com/office/word/2010/wordprocessingShape">
                          <wps:wsp>
                            <wps:cNvSpPr txBox="1"/>
                            <wps:spPr>
                              <a:xfrm>
                                <a:off x="0" y="0"/>
                                <a:ext cx="17335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44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4">
                      <wp:simplePos x="0" y="0"/>
                      <wp:positionH relativeFrom="character">
                        <wp:align>left</wp:align>
                      </wp:positionH>
                      <wp:positionV relativeFrom="line">
                        <wp:posOffset>635</wp:posOffset>
                      </wp:positionV>
                      <wp:extent cx="284480" cy="175260"/>
                      <wp:effectExtent l="0" t="0" r="0" b="0"/>
                      <wp:wrapNone/>
                      <wp:docPr id="153" name="Frame152"/>
                      <a:graphic xmlns:a="http://schemas.openxmlformats.org/drawingml/2006/main">
                        <a:graphicData uri="http://schemas.microsoft.com/office/word/2010/wordprocessingShape">
                          <wps:wsp>
                            <wps:cNvSpPr txBox="1"/>
                            <wps:spPr>
                              <a:xfrm>
                                <a:off x="0" y="0"/>
                                <a:ext cx="28448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5">
                      <wp:simplePos x="0" y="0"/>
                      <wp:positionH relativeFrom="character">
                        <wp:align>left</wp:align>
                      </wp:positionH>
                      <wp:positionV relativeFrom="line">
                        <wp:posOffset>635</wp:posOffset>
                      </wp:positionV>
                      <wp:extent cx="219710" cy="175260"/>
                      <wp:effectExtent l="0" t="0" r="0" b="0"/>
                      <wp:wrapNone/>
                      <wp:docPr id="154" name="Frame15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7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6">
                      <wp:simplePos x="0" y="0"/>
                      <wp:positionH relativeFrom="character">
                        <wp:align>left</wp:align>
                      </wp:positionH>
                      <wp:positionV relativeFrom="line">
                        <wp:posOffset>635</wp:posOffset>
                      </wp:positionV>
                      <wp:extent cx="173355" cy="175260"/>
                      <wp:effectExtent l="0" t="0" r="0" b="0"/>
                      <wp:wrapNone/>
                      <wp:docPr id="155" name="Frame154"/>
                      <a:graphic xmlns:a="http://schemas.openxmlformats.org/drawingml/2006/main">
                        <a:graphicData uri="http://schemas.microsoft.com/office/word/2010/wordprocessingShape">
                          <wps:wsp>
                            <wps:cNvSpPr txBox="1"/>
                            <wps:spPr>
                              <a:xfrm>
                                <a:off x="0" y="0"/>
                                <a:ext cx="17335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44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7">
                      <wp:simplePos x="0" y="0"/>
                      <wp:positionH relativeFrom="character">
                        <wp:align>left</wp:align>
                      </wp:positionH>
                      <wp:positionV relativeFrom="line">
                        <wp:posOffset>635</wp:posOffset>
                      </wp:positionV>
                      <wp:extent cx="284480" cy="175260"/>
                      <wp:effectExtent l="0" t="0" r="0" b="0"/>
                      <wp:wrapNone/>
                      <wp:docPr id="156" name="Frame155"/>
                      <a:graphic xmlns:a="http://schemas.openxmlformats.org/drawingml/2006/main">
                        <a:graphicData uri="http://schemas.microsoft.com/office/word/2010/wordprocessingShape">
                          <wps:wsp>
                            <wps:cNvSpPr txBox="1"/>
                            <wps:spPr>
                              <a:xfrm>
                                <a:off x="0" y="0"/>
                                <a:ext cx="28448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8">
                      <wp:simplePos x="0" y="0"/>
                      <wp:positionH relativeFrom="character">
                        <wp:align>left</wp:align>
                      </wp:positionH>
                      <wp:positionV relativeFrom="line">
                        <wp:posOffset>635</wp:posOffset>
                      </wp:positionV>
                      <wp:extent cx="219710" cy="175260"/>
                      <wp:effectExtent l="0" t="0" r="0" b="0"/>
                      <wp:wrapNone/>
                      <wp:docPr id="157" name="Frame15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9">
                      <wp:simplePos x="0" y="0"/>
                      <wp:positionH relativeFrom="character">
                        <wp:align>left</wp:align>
                      </wp:positionH>
                      <wp:positionV relativeFrom="line">
                        <wp:posOffset>635</wp:posOffset>
                      </wp:positionV>
                      <wp:extent cx="133985" cy="175260"/>
                      <wp:effectExtent l="0" t="0" r="0" b="0"/>
                      <wp:wrapNone/>
                      <wp:docPr id="158" name="Frame15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0">
                      <wp:simplePos x="0" y="0"/>
                      <wp:positionH relativeFrom="character">
                        <wp:align>left</wp:align>
                      </wp:positionH>
                      <wp:positionV relativeFrom="line">
                        <wp:posOffset>635</wp:posOffset>
                      </wp:positionV>
                      <wp:extent cx="362585" cy="175260"/>
                      <wp:effectExtent l="0" t="0" r="0" b="0"/>
                      <wp:wrapNone/>
                      <wp:docPr id="159" name="Frame158"/>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1">
                      <wp:simplePos x="0" y="0"/>
                      <wp:positionH relativeFrom="character">
                        <wp:align>left</wp:align>
                      </wp:positionH>
                      <wp:positionV relativeFrom="line">
                        <wp:posOffset>635</wp:posOffset>
                      </wp:positionV>
                      <wp:extent cx="219710" cy="175260"/>
                      <wp:effectExtent l="0" t="0" r="0" b="0"/>
                      <wp:wrapNone/>
                      <wp:docPr id="160" name="Frame15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2">
                      <wp:simplePos x="0" y="0"/>
                      <wp:positionH relativeFrom="character">
                        <wp:align>left</wp:align>
                      </wp:positionH>
                      <wp:positionV relativeFrom="line">
                        <wp:posOffset>635</wp:posOffset>
                      </wp:positionV>
                      <wp:extent cx="133985" cy="175260"/>
                      <wp:effectExtent l="0" t="0" r="0" b="0"/>
                      <wp:wrapNone/>
                      <wp:docPr id="161" name="Frame16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3">
                      <wp:simplePos x="0" y="0"/>
                      <wp:positionH relativeFrom="character">
                        <wp:align>left</wp:align>
                      </wp:positionH>
                      <wp:positionV relativeFrom="line">
                        <wp:posOffset>635</wp:posOffset>
                      </wp:positionV>
                      <wp:extent cx="362585" cy="175260"/>
                      <wp:effectExtent l="0" t="0" r="0" b="0"/>
                      <wp:wrapNone/>
                      <wp:docPr id="162" name="Frame161"/>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4">
                      <wp:simplePos x="0" y="0"/>
                      <wp:positionH relativeFrom="character">
                        <wp:align>left</wp:align>
                      </wp:positionH>
                      <wp:positionV relativeFrom="line">
                        <wp:posOffset>635</wp:posOffset>
                      </wp:positionV>
                      <wp:extent cx="219710" cy="175260"/>
                      <wp:effectExtent l="0" t="0" r="0" b="0"/>
                      <wp:wrapNone/>
                      <wp:docPr id="163" name="Frame16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4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5">
                      <wp:simplePos x="0" y="0"/>
                      <wp:positionH relativeFrom="character">
                        <wp:align>left</wp:align>
                      </wp:positionH>
                      <wp:positionV relativeFrom="line">
                        <wp:posOffset>635</wp:posOffset>
                      </wp:positionV>
                      <wp:extent cx="152400" cy="175260"/>
                      <wp:effectExtent l="0" t="0" r="0" b="0"/>
                      <wp:wrapNone/>
                      <wp:docPr id="164" name="Frame163"/>
                      <a:graphic xmlns:a="http://schemas.openxmlformats.org/drawingml/2006/main">
                        <a:graphicData uri="http://schemas.microsoft.com/office/word/2010/wordprocessingShape">
                          <wps:wsp>
                            <wps:cNvSpPr txBox="1"/>
                            <wps:spPr>
                              <a:xfrm>
                                <a:off x="0" y="0"/>
                                <a:ext cx="15240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4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6">
                      <wp:simplePos x="0" y="0"/>
                      <wp:positionH relativeFrom="character">
                        <wp:align>left</wp:align>
                      </wp:positionH>
                      <wp:positionV relativeFrom="line">
                        <wp:posOffset>635</wp:posOffset>
                      </wp:positionV>
                      <wp:extent cx="305435" cy="175260"/>
                      <wp:effectExtent l="0" t="0" r="0" b="0"/>
                      <wp:wrapNone/>
                      <wp:docPr id="165" name="Frame164"/>
                      <a:graphic xmlns:a="http://schemas.openxmlformats.org/drawingml/2006/main">
                        <a:graphicData uri="http://schemas.microsoft.com/office/word/2010/wordprocessingShape">
                          <wps:wsp>
                            <wps:cNvSpPr txBox="1"/>
                            <wps:spPr>
                              <a:xfrm>
                                <a:off x="0" y="0"/>
                                <a:ext cx="30543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7">
                      <wp:simplePos x="0" y="0"/>
                      <wp:positionH relativeFrom="character">
                        <wp:align>left</wp:align>
                      </wp:positionH>
                      <wp:positionV relativeFrom="line">
                        <wp:posOffset>635</wp:posOffset>
                      </wp:positionV>
                      <wp:extent cx="219710" cy="175260"/>
                      <wp:effectExtent l="0" t="0" r="0" b="0"/>
                      <wp:wrapNone/>
                      <wp:docPr id="166" name="Frame16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4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8">
                      <wp:simplePos x="0" y="0"/>
                      <wp:positionH relativeFrom="character">
                        <wp:align>left</wp:align>
                      </wp:positionH>
                      <wp:positionV relativeFrom="line">
                        <wp:posOffset>635</wp:posOffset>
                      </wp:positionV>
                      <wp:extent cx="152400" cy="175260"/>
                      <wp:effectExtent l="0" t="0" r="0" b="0"/>
                      <wp:wrapNone/>
                      <wp:docPr id="167" name="Frame166"/>
                      <a:graphic xmlns:a="http://schemas.openxmlformats.org/drawingml/2006/main">
                        <a:graphicData uri="http://schemas.microsoft.com/office/word/2010/wordprocessingShape">
                          <wps:wsp>
                            <wps:cNvSpPr txBox="1"/>
                            <wps:spPr>
                              <a:xfrm>
                                <a:off x="0" y="0"/>
                                <a:ext cx="15240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5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9">
                      <wp:simplePos x="0" y="0"/>
                      <wp:positionH relativeFrom="character">
                        <wp:align>left</wp:align>
                      </wp:positionH>
                      <wp:positionV relativeFrom="line">
                        <wp:posOffset>635</wp:posOffset>
                      </wp:positionV>
                      <wp:extent cx="334010" cy="175260"/>
                      <wp:effectExtent l="0" t="0" r="0" b="0"/>
                      <wp:wrapNone/>
                      <wp:docPr id="168" name="Frame167"/>
                      <a:graphic xmlns:a="http://schemas.openxmlformats.org/drawingml/2006/main">
                        <a:graphicData uri="http://schemas.microsoft.com/office/word/2010/wordprocessingShape">
                          <wps:wsp>
                            <wps:cNvSpPr txBox="1"/>
                            <wps:spPr>
                              <a:xfrm>
                                <a:off x="0" y="0"/>
                                <a:ext cx="3340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r>
      <w:tr>
        <w:trPr/>
        <w:tc>
          <w:tcPr>
            <w:tcW w:w="1170"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4254" w:type="dxa"/>
            <w:gridSpan w:val="11"/>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As of June 30, 2026</w:t>
            </w:r>
          </w:p>
        </w:tc>
        <w:tc>
          <w:tcPr>
            <w:tcW w:w="346"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4089" w:type="dxa"/>
            <w:gridSpan w:val="11"/>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As of December 31, 2025</w:t>
            </w:r>
          </w:p>
        </w:tc>
      </w:tr>
      <w:tr>
        <w:trPr/>
        <w:tc>
          <w:tcPr>
            <w:tcW w:w="1170"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Description</w:t>
            </w:r>
          </w:p>
        </w:tc>
        <w:tc>
          <w:tcPr>
            <w:tcW w:w="346"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  ​ ​ ​</w:t>
            </w:r>
          </w:p>
        </w:tc>
        <w:tc>
          <w:tcPr>
            <w:tcW w:w="887"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Total</w:t>
            </w:r>
          </w:p>
        </w:tc>
        <w:tc>
          <w:tcPr>
            <w:tcW w:w="346"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  ​ ​ ​</w:t>
            </w:r>
          </w:p>
        </w:tc>
        <w:tc>
          <w:tcPr>
            <w:tcW w:w="887"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Level 1</w:t>
            </w:r>
          </w:p>
        </w:tc>
        <w:tc>
          <w:tcPr>
            <w:tcW w:w="346"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  ​ ​ ​</w:t>
            </w:r>
          </w:p>
        </w:tc>
        <w:tc>
          <w:tcPr>
            <w:tcW w:w="721"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Level 2</w:t>
            </w:r>
          </w:p>
        </w:tc>
        <w:tc>
          <w:tcPr>
            <w:tcW w:w="346"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  ​ ​ ​</w:t>
            </w:r>
          </w:p>
        </w:tc>
        <w:tc>
          <w:tcPr>
            <w:tcW w:w="721"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Level 3</w:t>
            </w:r>
          </w:p>
        </w:tc>
        <w:tc>
          <w:tcPr>
            <w:tcW w:w="346"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  ​ ​ ​</w:t>
            </w:r>
          </w:p>
        </w:tc>
        <w:tc>
          <w:tcPr>
            <w:tcW w:w="782"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Total</w:t>
            </w:r>
          </w:p>
        </w:tc>
        <w:tc>
          <w:tcPr>
            <w:tcW w:w="346"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  ​ ​ ​</w:t>
            </w:r>
          </w:p>
        </w:tc>
        <w:tc>
          <w:tcPr>
            <w:tcW w:w="782"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Level 1</w:t>
            </w:r>
          </w:p>
        </w:tc>
        <w:tc>
          <w:tcPr>
            <w:tcW w:w="346"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  ​ ​ ​</w:t>
            </w:r>
          </w:p>
        </w:tc>
        <w:tc>
          <w:tcPr>
            <w:tcW w:w="721"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Level 2</w:t>
            </w:r>
          </w:p>
        </w:tc>
        <w:tc>
          <w:tcPr>
            <w:tcW w:w="346"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  ​ ​ ​</w:t>
            </w:r>
          </w:p>
        </w:tc>
        <w:tc>
          <w:tcPr>
            <w:tcW w:w="766"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Level 3</w:t>
            </w:r>
          </w:p>
        </w:tc>
      </w:tr>
      <w:tr>
        <w:trPr/>
        <w:tc>
          <w:tcPr>
            <w:tcW w:w="1170"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Assets</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center"/>
              <w:rPr/>
            </w:pPr>
            <w:r>
              <w:rPr/>
              <w:t>​</w:t>
            </w:r>
          </w:p>
        </w:tc>
        <w:tc>
          <w:tcPr>
            <w:tcW w:w="676" w:type="dxa"/>
            <w:tcBorders/>
            <w:shd w:fill="CCEEFF" w:val="clear"/>
            <w:vAlign w:val="center"/>
          </w:tcPr>
          <w:p>
            <w:pPr>
              <w:pStyle w:val="TableContents"/>
              <w:bidi w:val="0"/>
              <w:spacing w:lineRule="auto" w:line="285" w:before="0" w:after="0"/>
              <w:ind w:left="0" w:right="0" w:hanging="0"/>
              <w:jc w:val="center"/>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center"/>
              <w:rPr/>
            </w:pPr>
            <w:r>
              <w:rPr/>
              <w:t>​</w:t>
            </w:r>
          </w:p>
        </w:tc>
        <w:tc>
          <w:tcPr>
            <w:tcW w:w="676" w:type="dxa"/>
            <w:tcBorders/>
            <w:shd w:fill="CCEEFF" w:val="clear"/>
            <w:vAlign w:val="center"/>
          </w:tcPr>
          <w:p>
            <w:pPr>
              <w:pStyle w:val="TableContents"/>
              <w:bidi w:val="0"/>
              <w:spacing w:lineRule="auto" w:line="285" w:before="0" w:after="0"/>
              <w:ind w:left="0" w:right="0" w:hanging="0"/>
              <w:jc w:val="center"/>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73" w:type="dxa"/>
            <w:tcBorders/>
            <w:shd w:fill="CCEEFF" w:val="clear"/>
            <w:vAlign w:val="center"/>
          </w:tcPr>
          <w:p>
            <w:pPr>
              <w:pStyle w:val="TableContents"/>
              <w:bidi w:val="0"/>
              <w:spacing w:lineRule="auto" w:line="285" w:before="0" w:after="0"/>
              <w:ind w:left="0" w:right="0" w:hanging="0"/>
              <w:jc w:val="center"/>
              <w:rPr/>
            </w:pPr>
            <w:r>
              <w:rPr/>
              <w:t>​</w:t>
            </w:r>
          </w:p>
        </w:tc>
        <w:tc>
          <w:tcPr>
            <w:tcW w:w="448" w:type="dxa"/>
            <w:tcBorders/>
            <w:shd w:fill="CCEEFF" w:val="clear"/>
            <w:vAlign w:val="center"/>
          </w:tcPr>
          <w:p>
            <w:pPr>
              <w:pStyle w:val="TableContents"/>
              <w:bidi w:val="0"/>
              <w:spacing w:lineRule="auto" w:line="285" w:before="0" w:after="0"/>
              <w:ind w:left="0" w:right="0" w:hanging="0"/>
              <w:jc w:val="center"/>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73" w:type="dxa"/>
            <w:tcBorders/>
            <w:shd w:fill="CCEEFF" w:val="clear"/>
            <w:vAlign w:val="center"/>
          </w:tcPr>
          <w:p>
            <w:pPr>
              <w:pStyle w:val="TableContents"/>
              <w:bidi w:val="0"/>
              <w:spacing w:lineRule="auto" w:line="285" w:before="0" w:after="0"/>
              <w:ind w:left="0" w:right="0" w:hanging="0"/>
              <w:jc w:val="center"/>
              <w:rPr/>
            </w:pPr>
            <w:r>
              <w:rPr/>
              <w:t>​</w:t>
            </w:r>
          </w:p>
        </w:tc>
        <w:tc>
          <w:tcPr>
            <w:tcW w:w="448" w:type="dxa"/>
            <w:tcBorders/>
            <w:shd w:fill="CCEEFF" w:val="clear"/>
            <w:vAlign w:val="center"/>
          </w:tcPr>
          <w:p>
            <w:pPr>
              <w:pStyle w:val="TableContents"/>
              <w:bidi w:val="0"/>
              <w:spacing w:lineRule="auto" w:line="285" w:before="0" w:after="0"/>
              <w:ind w:left="0" w:right="0" w:hanging="0"/>
              <w:jc w:val="center"/>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center"/>
              <w:rPr/>
            </w:pPr>
            <w:r>
              <w:rPr/>
              <w:t>​</w:t>
            </w:r>
          </w:p>
        </w:tc>
        <w:tc>
          <w:tcPr>
            <w:tcW w:w="571" w:type="dxa"/>
            <w:tcBorders/>
            <w:shd w:fill="CCEEFF" w:val="clear"/>
            <w:vAlign w:val="center"/>
          </w:tcPr>
          <w:p>
            <w:pPr>
              <w:pStyle w:val="TableContents"/>
              <w:bidi w:val="0"/>
              <w:spacing w:lineRule="auto" w:line="285" w:before="0" w:after="0"/>
              <w:ind w:left="0" w:right="0" w:hanging="0"/>
              <w:jc w:val="center"/>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center"/>
              <w:rPr/>
            </w:pPr>
            <w:r>
              <w:rPr/>
              <w:t>​</w:t>
            </w:r>
          </w:p>
        </w:tc>
        <w:tc>
          <w:tcPr>
            <w:tcW w:w="571" w:type="dxa"/>
            <w:tcBorders/>
            <w:shd w:fill="CCEEFF" w:val="clear"/>
            <w:vAlign w:val="center"/>
          </w:tcPr>
          <w:p>
            <w:pPr>
              <w:pStyle w:val="TableContents"/>
              <w:bidi w:val="0"/>
              <w:spacing w:lineRule="auto" w:line="285" w:before="0" w:after="0"/>
              <w:ind w:left="0" w:right="0" w:hanging="0"/>
              <w:jc w:val="center"/>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40" w:type="dxa"/>
            <w:tcBorders/>
            <w:shd w:fill="CCEEFF" w:val="clear"/>
            <w:vAlign w:val="center"/>
          </w:tcPr>
          <w:p>
            <w:pPr>
              <w:pStyle w:val="TableContents"/>
              <w:bidi w:val="0"/>
              <w:spacing w:lineRule="auto" w:line="285" w:before="0" w:after="0"/>
              <w:ind w:left="0" w:right="0" w:hanging="0"/>
              <w:jc w:val="center"/>
              <w:rPr/>
            </w:pPr>
            <w:r>
              <w:rPr/>
              <w:t>​</w:t>
            </w:r>
          </w:p>
        </w:tc>
        <w:tc>
          <w:tcPr>
            <w:tcW w:w="481" w:type="dxa"/>
            <w:tcBorders/>
            <w:shd w:fill="CCEEFF" w:val="clear"/>
            <w:vAlign w:val="center"/>
          </w:tcPr>
          <w:p>
            <w:pPr>
              <w:pStyle w:val="TableContents"/>
              <w:bidi w:val="0"/>
              <w:spacing w:lineRule="auto" w:line="285" w:before="0" w:after="0"/>
              <w:ind w:left="0" w:right="0" w:hanging="0"/>
              <w:jc w:val="center"/>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40" w:type="dxa"/>
            <w:tcBorders/>
            <w:shd w:fill="CCEEFF" w:val="clear"/>
            <w:vAlign w:val="center"/>
          </w:tcPr>
          <w:p>
            <w:pPr>
              <w:pStyle w:val="TableContents"/>
              <w:bidi w:val="0"/>
              <w:spacing w:lineRule="auto" w:line="285" w:before="0" w:after="0"/>
              <w:ind w:left="0" w:right="0" w:hanging="0"/>
              <w:jc w:val="center"/>
              <w:rPr/>
            </w:pPr>
            <w:r>
              <w:rPr/>
              <w:t>​</w:t>
            </w:r>
          </w:p>
        </w:tc>
        <w:tc>
          <w:tcPr>
            <w:tcW w:w="526" w:type="dxa"/>
            <w:tcBorders/>
            <w:shd w:fill="CCEEFF" w:val="clear"/>
            <w:vAlign w:val="center"/>
          </w:tcPr>
          <w:p>
            <w:pPr>
              <w:pStyle w:val="TableContents"/>
              <w:bidi w:val="0"/>
              <w:spacing w:lineRule="auto" w:line="285" w:before="0" w:after="0"/>
              <w:ind w:left="0" w:right="0" w:hanging="0"/>
              <w:jc w:val="center"/>
              <w:rPr/>
            </w:pPr>
            <w:r>
              <w:rPr/>
              <w:t>​</w:t>
            </w:r>
          </w:p>
        </w:tc>
      </w:tr>
      <w:tr>
        <w:trPr/>
        <w:tc>
          <w:tcPr>
            <w:tcW w:w="1170"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Bank money market funds</w:t>
            </w:r>
          </w:p>
        </w:tc>
        <w:tc>
          <w:tcPr>
            <w:tcW w:w="346"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10,858</w:t>
            </w:r>
          </w:p>
        </w:tc>
        <w:tc>
          <w:tcPr>
            <w:tcW w:w="346"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10,858</w:t>
            </w:r>
          </w:p>
        </w:tc>
        <w:tc>
          <w:tcPr>
            <w:tcW w:w="346"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273"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48"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pPr>
            <w:r>
              <w:rPr/>
              <w:t>—</w:t>
            </w:r>
          </w:p>
        </w:tc>
        <w:tc>
          <w:tcPr>
            <w:tcW w:w="346"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273"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48"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pPr>
            <w:r>
              <w:rPr/>
              <w:t>—</w:t>
            </w:r>
          </w:p>
        </w:tc>
        <w:tc>
          <w:tcPr>
            <w:tcW w:w="346"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8,519</w:t>
            </w:r>
          </w:p>
        </w:tc>
        <w:tc>
          <w:tcPr>
            <w:tcW w:w="346"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8,519</w:t>
            </w:r>
          </w:p>
        </w:tc>
        <w:tc>
          <w:tcPr>
            <w:tcW w:w="346"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240"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81"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pPr>
            <w:r>
              <w:rPr/>
              <w:t>—</w:t>
            </w:r>
          </w:p>
        </w:tc>
        <w:tc>
          <w:tcPr>
            <w:tcW w:w="346"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240"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26"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pPr>
            <w:r>
              <w:rPr/>
              <w:t>—</w:t>
            </w:r>
          </w:p>
        </w:tc>
      </w:tr>
      <w:tr>
        <w:trPr/>
        <w:tc>
          <w:tcPr>
            <w:tcW w:w="1170"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Total assets at fair value</w:t>
            </w:r>
          </w:p>
        </w:tc>
        <w:tc>
          <w:tcPr>
            <w:tcW w:w="346"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10,858</w:t>
            </w:r>
          </w:p>
        </w:tc>
        <w:tc>
          <w:tcPr>
            <w:tcW w:w="346"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10,858</w:t>
            </w:r>
          </w:p>
        </w:tc>
        <w:tc>
          <w:tcPr>
            <w:tcW w:w="346"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273"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48"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pPr>
            <w:r>
              <w:rPr/>
              <w:t>—</w:t>
            </w:r>
          </w:p>
        </w:tc>
        <w:tc>
          <w:tcPr>
            <w:tcW w:w="346"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273"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48"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pPr>
            <w:r>
              <w:rPr/>
              <w:t>—</w:t>
            </w:r>
          </w:p>
        </w:tc>
        <w:tc>
          <w:tcPr>
            <w:tcW w:w="346"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8,519</w:t>
            </w:r>
          </w:p>
        </w:tc>
        <w:tc>
          <w:tcPr>
            <w:tcW w:w="346"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8,519</w:t>
            </w:r>
          </w:p>
        </w:tc>
        <w:tc>
          <w:tcPr>
            <w:tcW w:w="346"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240"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81"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pPr>
            <w:r>
              <w:rPr/>
              <w:t>—</w:t>
            </w:r>
          </w:p>
        </w:tc>
        <w:tc>
          <w:tcPr>
            <w:tcW w:w="346"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240"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26"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pPr>
            <w:r>
              <w:rPr/>
              <w:t>—</w:t>
            </w:r>
          </w:p>
        </w:tc>
      </w:tr>
      <w:tr>
        <w:trPr/>
        <w:tc>
          <w:tcPr>
            <w:tcW w:w="1170"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pPr>
            <w:r>
              <w:rPr/>
              <w:t>​</w:t>
            </w:r>
          </w:p>
        </w:tc>
        <w:tc>
          <w:tcPr>
            <w:tcW w:w="676" w:type="dxa"/>
            <w:tcBorders/>
            <w:vAlign w:val="center"/>
          </w:tcPr>
          <w:p>
            <w:pPr>
              <w:pStyle w:val="TableContents"/>
              <w:bidi w:val="0"/>
              <w:spacing w:lineRule="auto" w:line="285" w:before="0" w:after="0"/>
              <w:ind w:left="0" w:right="0" w:hanging="0"/>
              <w:jc w:val="righ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pPr>
            <w:r>
              <w:rPr/>
              <w:t>​</w:t>
            </w:r>
          </w:p>
        </w:tc>
        <w:tc>
          <w:tcPr>
            <w:tcW w:w="676" w:type="dxa"/>
            <w:tcBorders/>
            <w:vAlign w:val="center"/>
          </w:tcPr>
          <w:p>
            <w:pPr>
              <w:pStyle w:val="TableContents"/>
              <w:bidi w:val="0"/>
              <w:spacing w:lineRule="auto" w:line="285" w:before="0" w:after="0"/>
              <w:ind w:left="0" w:right="0" w:hanging="0"/>
              <w:jc w:val="righ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273" w:type="dxa"/>
            <w:tcBorders/>
            <w:vAlign w:val="center"/>
          </w:tcPr>
          <w:p>
            <w:pPr>
              <w:pStyle w:val="TableContents"/>
              <w:bidi w:val="0"/>
              <w:spacing w:lineRule="auto" w:line="285" w:before="0" w:after="0"/>
              <w:ind w:left="0" w:right="0" w:hanging="0"/>
              <w:jc w:val="left"/>
              <w:rPr/>
            </w:pPr>
            <w:r>
              <w:rPr/>
              <w:t>​</w:t>
            </w:r>
          </w:p>
        </w:tc>
        <w:tc>
          <w:tcPr>
            <w:tcW w:w="448" w:type="dxa"/>
            <w:tcBorders/>
            <w:vAlign w:val="center"/>
          </w:tcPr>
          <w:p>
            <w:pPr>
              <w:pStyle w:val="TableContents"/>
              <w:bidi w:val="0"/>
              <w:spacing w:lineRule="auto" w:line="285" w:before="0" w:after="0"/>
              <w:ind w:left="0" w:right="0" w:hanging="0"/>
              <w:jc w:val="righ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273" w:type="dxa"/>
            <w:tcBorders/>
            <w:vAlign w:val="center"/>
          </w:tcPr>
          <w:p>
            <w:pPr>
              <w:pStyle w:val="TableContents"/>
              <w:bidi w:val="0"/>
              <w:spacing w:lineRule="auto" w:line="285" w:before="0" w:after="0"/>
              <w:ind w:left="0" w:right="0" w:hanging="0"/>
              <w:jc w:val="left"/>
              <w:rPr/>
            </w:pPr>
            <w:r>
              <w:rPr/>
              <w:t>​</w:t>
            </w:r>
          </w:p>
        </w:tc>
        <w:tc>
          <w:tcPr>
            <w:tcW w:w="448" w:type="dxa"/>
            <w:tcBorders/>
            <w:vAlign w:val="center"/>
          </w:tcPr>
          <w:p>
            <w:pPr>
              <w:pStyle w:val="TableContents"/>
              <w:bidi w:val="0"/>
              <w:spacing w:lineRule="auto" w:line="285" w:before="0" w:after="0"/>
              <w:ind w:left="0" w:right="0" w:hanging="0"/>
              <w:jc w:val="righ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pPr>
            <w:r>
              <w:rPr/>
              <w:t>​</w:t>
            </w:r>
          </w:p>
        </w:tc>
        <w:tc>
          <w:tcPr>
            <w:tcW w:w="571" w:type="dxa"/>
            <w:tcBorders/>
            <w:vAlign w:val="center"/>
          </w:tcPr>
          <w:p>
            <w:pPr>
              <w:pStyle w:val="TableContents"/>
              <w:bidi w:val="0"/>
              <w:spacing w:lineRule="auto" w:line="285" w:before="0" w:after="0"/>
              <w:ind w:left="0" w:right="0" w:hanging="0"/>
              <w:jc w:val="righ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pPr>
            <w:r>
              <w:rPr/>
              <w:t>​</w:t>
            </w:r>
          </w:p>
        </w:tc>
        <w:tc>
          <w:tcPr>
            <w:tcW w:w="571" w:type="dxa"/>
            <w:tcBorders/>
            <w:vAlign w:val="center"/>
          </w:tcPr>
          <w:p>
            <w:pPr>
              <w:pStyle w:val="TableContents"/>
              <w:bidi w:val="0"/>
              <w:spacing w:lineRule="auto" w:line="285" w:before="0" w:after="0"/>
              <w:ind w:left="0" w:right="0" w:hanging="0"/>
              <w:jc w:val="righ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240" w:type="dxa"/>
            <w:tcBorders/>
            <w:vAlign w:val="center"/>
          </w:tcPr>
          <w:p>
            <w:pPr>
              <w:pStyle w:val="TableContents"/>
              <w:bidi w:val="0"/>
              <w:spacing w:lineRule="auto" w:line="285" w:before="0" w:after="0"/>
              <w:ind w:left="0" w:right="0" w:hanging="0"/>
              <w:jc w:val="left"/>
              <w:rPr/>
            </w:pPr>
            <w:r>
              <w:rPr/>
              <w:t>​</w:t>
            </w:r>
          </w:p>
        </w:tc>
        <w:tc>
          <w:tcPr>
            <w:tcW w:w="481" w:type="dxa"/>
            <w:tcBorders/>
            <w:vAlign w:val="center"/>
          </w:tcPr>
          <w:p>
            <w:pPr>
              <w:pStyle w:val="TableContents"/>
              <w:bidi w:val="0"/>
              <w:spacing w:lineRule="auto" w:line="285" w:before="0" w:after="0"/>
              <w:ind w:left="0" w:right="0" w:hanging="0"/>
              <w:jc w:val="righ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240" w:type="dxa"/>
            <w:tcBorders/>
            <w:vAlign w:val="center"/>
          </w:tcPr>
          <w:p>
            <w:pPr>
              <w:pStyle w:val="TableContents"/>
              <w:bidi w:val="0"/>
              <w:spacing w:lineRule="auto" w:line="285" w:before="0" w:after="0"/>
              <w:ind w:left="0" w:right="0" w:hanging="0"/>
              <w:jc w:val="left"/>
              <w:rPr/>
            </w:pPr>
            <w:r>
              <w:rPr/>
              <w:t>​</w:t>
            </w:r>
          </w:p>
        </w:tc>
        <w:tc>
          <w:tcPr>
            <w:tcW w:w="526" w:type="dxa"/>
            <w:tcBorders/>
            <w:vAlign w:val="center"/>
          </w:tcPr>
          <w:p>
            <w:pPr>
              <w:pStyle w:val="TableContents"/>
              <w:bidi w:val="0"/>
              <w:spacing w:lineRule="auto" w:line="285" w:before="0" w:after="0"/>
              <w:ind w:left="0" w:right="0" w:hanging="0"/>
              <w:jc w:val="right"/>
              <w:rPr/>
            </w:pPr>
            <w:r>
              <w:rPr/>
              <w:t>​</w:t>
            </w:r>
          </w:p>
        </w:tc>
      </w:tr>
      <w:tr>
        <w:trPr/>
        <w:tc>
          <w:tcPr>
            <w:tcW w:w="1170"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Liabilities</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pPr>
            <w:r>
              <w:rPr/>
              <w:t>​</w:t>
            </w:r>
          </w:p>
        </w:tc>
        <w:tc>
          <w:tcPr>
            <w:tcW w:w="676" w:type="dxa"/>
            <w:tcBorders/>
            <w:shd w:fill="CCEEFF" w:val="clear"/>
            <w:vAlign w:val="center"/>
          </w:tcPr>
          <w:p>
            <w:pPr>
              <w:pStyle w:val="TableContents"/>
              <w:bidi w:val="0"/>
              <w:spacing w:lineRule="auto" w:line="285" w:before="0" w:after="0"/>
              <w:ind w:left="0" w:right="0" w:hanging="0"/>
              <w:jc w:val="lef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pPr>
            <w:r>
              <w:rPr/>
              <w:t>​</w:t>
            </w:r>
          </w:p>
        </w:tc>
        <w:tc>
          <w:tcPr>
            <w:tcW w:w="676" w:type="dxa"/>
            <w:tcBorders/>
            <w:shd w:fill="CCEEFF" w:val="clear"/>
            <w:vAlign w:val="center"/>
          </w:tcPr>
          <w:p>
            <w:pPr>
              <w:pStyle w:val="TableContents"/>
              <w:bidi w:val="0"/>
              <w:spacing w:lineRule="auto" w:line="285" w:before="0" w:after="0"/>
              <w:ind w:left="0" w:right="0" w:hanging="0"/>
              <w:jc w:val="lef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73" w:type="dxa"/>
            <w:tcBorders/>
            <w:shd w:fill="CCEEFF" w:val="clear"/>
            <w:vAlign w:val="center"/>
          </w:tcPr>
          <w:p>
            <w:pPr>
              <w:pStyle w:val="TableContents"/>
              <w:bidi w:val="0"/>
              <w:spacing w:lineRule="auto" w:line="285" w:before="0" w:after="0"/>
              <w:ind w:left="0" w:right="0" w:hanging="0"/>
              <w:jc w:val="left"/>
              <w:rPr/>
            </w:pPr>
            <w:r>
              <w:rPr/>
              <w:t>​</w:t>
            </w:r>
          </w:p>
        </w:tc>
        <w:tc>
          <w:tcPr>
            <w:tcW w:w="448" w:type="dxa"/>
            <w:tcBorders/>
            <w:shd w:fill="CCEEFF" w:val="clear"/>
            <w:vAlign w:val="center"/>
          </w:tcPr>
          <w:p>
            <w:pPr>
              <w:pStyle w:val="TableContents"/>
              <w:bidi w:val="0"/>
              <w:spacing w:lineRule="auto" w:line="285" w:before="0" w:after="0"/>
              <w:ind w:left="0" w:right="0" w:hanging="0"/>
              <w:jc w:val="lef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73" w:type="dxa"/>
            <w:tcBorders/>
            <w:shd w:fill="CCEEFF" w:val="clear"/>
            <w:vAlign w:val="center"/>
          </w:tcPr>
          <w:p>
            <w:pPr>
              <w:pStyle w:val="TableContents"/>
              <w:bidi w:val="0"/>
              <w:spacing w:lineRule="auto" w:line="285" w:before="0" w:after="0"/>
              <w:ind w:left="0" w:right="0" w:hanging="0"/>
              <w:jc w:val="left"/>
              <w:rPr/>
            </w:pPr>
            <w:r>
              <w:rPr/>
              <w:t>​</w:t>
            </w:r>
          </w:p>
        </w:tc>
        <w:tc>
          <w:tcPr>
            <w:tcW w:w="448" w:type="dxa"/>
            <w:tcBorders/>
            <w:shd w:fill="CCEEFF" w:val="clear"/>
            <w:vAlign w:val="center"/>
          </w:tcPr>
          <w:p>
            <w:pPr>
              <w:pStyle w:val="TableContents"/>
              <w:bidi w:val="0"/>
              <w:spacing w:lineRule="auto" w:line="285" w:before="0" w:after="0"/>
              <w:ind w:left="0" w:right="0" w:hanging="0"/>
              <w:jc w:val="lef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pPr>
            <w:r>
              <w:rPr/>
              <w:t>​</w:t>
            </w:r>
          </w:p>
        </w:tc>
        <w:tc>
          <w:tcPr>
            <w:tcW w:w="571" w:type="dxa"/>
            <w:tcBorders/>
            <w:shd w:fill="CCEEFF" w:val="clear"/>
            <w:vAlign w:val="center"/>
          </w:tcPr>
          <w:p>
            <w:pPr>
              <w:pStyle w:val="TableContents"/>
              <w:bidi w:val="0"/>
              <w:spacing w:lineRule="auto" w:line="285" w:before="0" w:after="0"/>
              <w:ind w:left="0" w:right="0" w:hanging="0"/>
              <w:jc w:val="lef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pPr>
            <w:r>
              <w:rPr/>
              <w:t>​</w:t>
            </w:r>
          </w:p>
        </w:tc>
        <w:tc>
          <w:tcPr>
            <w:tcW w:w="571" w:type="dxa"/>
            <w:tcBorders/>
            <w:shd w:fill="CCEEFF" w:val="clear"/>
            <w:vAlign w:val="center"/>
          </w:tcPr>
          <w:p>
            <w:pPr>
              <w:pStyle w:val="TableContents"/>
              <w:bidi w:val="0"/>
              <w:spacing w:lineRule="auto" w:line="285" w:before="0" w:after="0"/>
              <w:ind w:left="0" w:right="0" w:hanging="0"/>
              <w:jc w:val="lef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40" w:type="dxa"/>
            <w:tcBorders/>
            <w:shd w:fill="CCEEFF" w:val="clear"/>
            <w:vAlign w:val="center"/>
          </w:tcPr>
          <w:p>
            <w:pPr>
              <w:pStyle w:val="TableContents"/>
              <w:bidi w:val="0"/>
              <w:spacing w:lineRule="auto" w:line="285" w:before="0" w:after="0"/>
              <w:ind w:left="0" w:right="0" w:hanging="0"/>
              <w:jc w:val="left"/>
              <w:rPr/>
            </w:pPr>
            <w:r>
              <w:rPr/>
              <w:t>​</w:t>
            </w:r>
          </w:p>
        </w:tc>
        <w:tc>
          <w:tcPr>
            <w:tcW w:w="481" w:type="dxa"/>
            <w:tcBorders/>
            <w:shd w:fill="CCEEFF" w:val="clear"/>
            <w:vAlign w:val="center"/>
          </w:tcPr>
          <w:p>
            <w:pPr>
              <w:pStyle w:val="TableContents"/>
              <w:bidi w:val="0"/>
              <w:spacing w:lineRule="auto" w:line="285" w:before="0" w:after="0"/>
              <w:ind w:left="0" w:right="0" w:hanging="0"/>
              <w:jc w:val="lef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40" w:type="dxa"/>
            <w:tcBorders/>
            <w:shd w:fill="CCEEFF" w:val="clear"/>
            <w:vAlign w:val="center"/>
          </w:tcPr>
          <w:p>
            <w:pPr>
              <w:pStyle w:val="TableContents"/>
              <w:bidi w:val="0"/>
              <w:spacing w:lineRule="auto" w:line="285" w:before="0" w:after="0"/>
              <w:ind w:left="0" w:right="0" w:hanging="0"/>
              <w:jc w:val="left"/>
              <w:rPr/>
            </w:pPr>
            <w:r>
              <w:rPr/>
              <w:t>​</w:t>
            </w:r>
          </w:p>
        </w:tc>
        <w:tc>
          <w:tcPr>
            <w:tcW w:w="526" w:type="dxa"/>
            <w:tcBorders/>
            <w:shd w:fill="CCEEFF" w:val="clear"/>
            <w:vAlign w:val="center"/>
          </w:tcPr>
          <w:p>
            <w:pPr>
              <w:pStyle w:val="TableContents"/>
              <w:bidi w:val="0"/>
              <w:spacing w:lineRule="auto" w:line="285" w:before="0" w:after="0"/>
              <w:ind w:left="0" w:right="0" w:hanging="0"/>
              <w:jc w:val="left"/>
              <w:rPr/>
            </w:pPr>
            <w:r>
              <w:rPr/>
              <w:t>​</w:t>
            </w:r>
          </w:p>
        </w:tc>
      </w:tr>
      <w:tr>
        <w:trPr/>
        <w:tc>
          <w:tcPr>
            <w:tcW w:w="1170"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Warrant liabilities</w:t>
            </w:r>
          </w:p>
        </w:tc>
        <w:tc>
          <w:tcPr>
            <w:tcW w:w="346"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23</w:t>
            </w:r>
          </w:p>
        </w:tc>
        <w:tc>
          <w:tcPr>
            <w:tcW w:w="346"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pPr>
            <w:r>
              <w:rPr/>
              <w:t>—</w:t>
            </w:r>
          </w:p>
        </w:tc>
        <w:tc>
          <w:tcPr>
            <w:tcW w:w="346"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273"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48"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23</w:t>
            </w:r>
          </w:p>
        </w:tc>
        <w:tc>
          <w:tcPr>
            <w:tcW w:w="346"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273"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48"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pPr>
            <w:r>
              <w:rPr/>
              <w:t>—</w:t>
            </w:r>
          </w:p>
        </w:tc>
        <w:tc>
          <w:tcPr>
            <w:tcW w:w="346"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136</w:t>
            </w:r>
          </w:p>
        </w:tc>
        <w:tc>
          <w:tcPr>
            <w:tcW w:w="346"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pPr>
            <w:r>
              <w:rPr/>
              <w:t>—</w:t>
            </w:r>
          </w:p>
        </w:tc>
        <w:tc>
          <w:tcPr>
            <w:tcW w:w="346"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240"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81"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136</w:t>
            </w:r>
          </w:p>
        </w:tc>
        <w:tc>
          <w:tcPr>
            <w:tcW w:w="346"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240"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26"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pPr>
            <w:r>
              <w:rPr/>
              <w:t>—</w:t>
            </w:r>
          </w:p>
        </w:tc>
      </w:tr>
      <w:tr>
        <w:trPr/>
        <w:tc>
          <w:tcPr>
            <w:tcW w:w="1170"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Total liabilities at fair value</w:t>
            </w:r>
          </w:p>
        </w:tc>
        <w:tc>
          <w:tcPr>
            <w:tcW w:w="346"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23</w:t>
            </w:r>
          </w:p>
        </w:tc>
        <w:tc>
          <w:tcPr>
            <w:tcW w:w="346"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pPr>
            <w:r>
              <w:rPr/>
              <w:t>—</w:t>
            </w:r>
          </w:p>
        </w:tc>
        <w:tc>
          <w:tcPr>
            <w:tcW w:w="346"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273"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48"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23</w:t>
            </w:r>
          </w:p>
        </w:tc>
        <w:tc>
          <w:tcPr>
            <w:tcW w:w="346"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273"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48"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pPr>
            <w:r>
              <w:rPr/>
              <w:t>—</w:t>
            </w:r>
          </w:p>
        </w:tc>
        <w:tc>
          <w:tcPr>
            <w:tcW w:w="346"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136</w:t>
            </w:r>
          </w:p>
        </w:tc>
        <w:tc>
          <w:tcPr>
            <w:tcW w:w="346"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pPr>
            <w:r>
              <w:rPr/>
              <w:t>—</w:t>
            </w:r>
          </w:p>
        </w:tc>
        <w:tc>
          <w:tcPr>
            <w:tcW w:w="346"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240"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81"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136</w:t>
            </w:r>
          </w:p>
        </w:tc>
        <w:tc>
          <w:tcPr>
            <w:tcW w:w="346"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240"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26" w:type="dxa"/>
            <w:tcBorders>
              <w:bottom w:val="double" w:sz="6" w:space="0" w:color="000000"/>
            </w:tcBorders>
            <w:shd w:fill="CCEEFF" w:val="clear"/>
            <w:tcMar>
              <w:bottom w:w="28" w:type="dxa"/>
            </w:tcMar>
            <w:vAlign w:val="center"/>
          </w:tcPr>
          <w:p>
            <w:pPr>
              <w:pStyle w:val="TableContents"/>
              <w:bidi w:val="0"/>
              <w:spacing w:lineRule="auto" w:line="285" w:before="0" w:after="0"/>
              <w:ind w:left="0" w:right="70" w:hanging="0"/>
              <w:jc w:val="right"/>
              <w:rPr/>
            </w:pPr>
            <w:r>
              <w:rPr/>
              <w:t>—</w:t>
            </w:r>
          </w:p>
        </w:tc>
      </w:tr>
    </w:tbl>
    <w:p>
      <w:pPr>
        <w:pStyle w:val="TextBody"/>
        <w:bidi w:val="0"/>
        <w:spacing w:lineRule="auto" w:line="285" w:before="0" w:after="0"/>
        <w:ind w:left="0" w:right="0" w:hanging="0"/>
        <w:jc w:val="both"/>
        <w:rPr/>
      </w:pPr>
      <w:r>
        <w:rPr/>
        <w:t>​</w:t>
      </w:r>
    </w:p>
    <w:p>
      <w:pPr>
        <w:pStyle w:val="TextBody"/>
        <w:bidi w:val="0"/>
        <w:spacing w:lineRule="auto" w:line="285" w:before="0" w:after="0"/>
        <w:ind w:left="0" w:right="0" w:hanging="0"/>
        <w:jc w:val="both"/>
        <w:rPr/>
      </w:pPr>
      <w:r>
        <w:rPr/>
        <w:t>​</w:t>
      </w:r>
    </w:p>
    <w:p>
      <w:pPr>
        <w:pStyle w:val="TextBody"/>
        <w:bidi w:val="0"/>
        <w:spacing w:lineRule="auto" w:line="285" w:before="0" w:after="0"/>
        <w:ind w:left="0" w:right="0" w:hanging="0"/>
        <w:jc w:val="both"/>
        <w:rPr/>
      </w:pPr>
      <w:r>
        <w:rPr/>
        <w:t>​</w:t>
      </w:r>
    </w:p>
    <w:p>
      <w:pPr>
        <w:pStyle w:val="TextBody"/>
        <w:bidi w:val="0"/>
        <w:spacing w:lineRule="auto" w:line="285" w:before="0" w:after="0"/>
        <w:ind w:left="0" w:right="0" w:hanging="0"/>
        <w:jc w:val="both"/>
        <w:rPr/>
      </w:pPr>
      <w:r>
        <w:rPr/>
        <w:t>​</w:t>
      </w:r>
    </w:p>
    <w:p>
      <w:pPr>
        <w:pStyle w:val="TextBody"/>
        <w:bidi w:val="0"/>
        <w:spacing w:lineRule="auto" w:line="285" w:before="0" w:after="0"/>
        <w:ind w:left="0" w:right="0" w:hanging="0"/>
        <w:jc w:val="both"/>
        <w:rPr/>
      </w:pPr>
      <w:r>
        <w:rPr/>
        <w:t>​</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both"/>
        <w:rPr/>
      </w:pPr>
      <w:r>
        <w:rPr/>
        <w:t>​</w:t>
      </w:r>
    </w:p>
    <w:p>
      <w:pPr>
        <w:pStyle w:val="TextBody"/>
        <w:bidi w:val="0"/>
        <w:spacing w:lineRule="auto" w:line="285" w:before="0" w:after="0"/>
        <w:ind w:left="0" w:right="0" w:hanging="0"/>
        <w:jc w:val="both"/>
        <w:rPr/>
      </w:pPr>
      <w:r>
        <w:rPr/>
        <w:t>​</w:t>
      </w:r>
    </w:p>
    <w:p>
      <w:pPr>
        <w:pStyle w:val="TextBody"/>
        <w:bidi w:val="0"/>
        <w:spacing w:lineRule="auto" w:line="285" w:before="0" w:after="0"/>
        <w:ind w:left="0" w:right="0" w:hanging="0"/>
        <w:jc w:val="both"/>
        <w:rPr/>
      </w:pPr>
      <w:r>
        <w:rPr/>
        <w:t>​</w:t>
      </w:r>
    </w:p>
    <w:p>
      <w:pPr>
        <w:pStyle w:val="TextBody"/>
        <w:bidi w:val="0"/>
        <w:spacing w:lineRule="auto" w:line="285" w:before="0" w:after="0"/>
        <w:ind w:left="0" w:right="0" w:hanging="0"/>
        <w:jc w:val="both"/>
        <w:rPr/>
      </w:pPr>
      <w:r>
        <w:rPr/>
        <w:t>​</w:t>
      </w:r>
    </w:p>
    <w:p>
      <w:pPr>
        <w:pStyle w:val="TextBody"/>
        <w:bidi w:val="0"/>
        <w:spacing w:lineRule="auto" w:line="285" w:before="0" w:after="0"/>
        <w:ind w:left="0" w:right="0" w:hanging="0"/>
        <w:jc w:val="left"/>
        <w:rPr/>
      </w:pPr>
      <w:r>
        <w:rPr/>
        <w:t>​</w:t>
      </w:r>
    </w:p>
    <w:p>
      <w:pPr>
        <w:pStyle w:val="TextBody"/>
        <w:pBdr/>
        <w:shd w:fill="FFFFFF" w:val="clear"/>
        <w:bidi w:val="0"/>
        <w:spacing w:lineRule="auto" w:line="285" w:before="0" w:after="0"/>
        <w:ind w:left="0" w:right="0" w:hanging="0"/>
        <w:jc w:val="both"/>
        <w:rPr/>
      </w:pPr>
      <w:r>
        <w:rPr/>
        <w:t>​</w:t>
      </w:r>
    </w:p>
    <w:p>
      <w:pPr>
        <w:pStyle w:val="TextBody"/>
        <w:shd w:fill="FFFFFF" w:val="clear"/>
        <w:bidi w:val="0"/>
        <w:spacing w:lineRule="auto" w:line="285" w:before="0" w:after="100"/>
        <w:ind w:left="0" w:right="0" w:hanging="0"/>
        <w:jc w:val="left"/>
        <w:rPr/>
      </w:pPr>
      <w:r>
        <w:rPr/>
        <w:t>​</w:t>
      </w:r>
    </w:p>
    <w:p>
      <w:pPr>
        <w:pStyle w:val="TextBody"/>
        <w:bidi w:val="0"/>
        <w:spacing w:lineRule="auto" w:line="285" w:before="0" w:after="0"/>
        <w:ind w:left="0" w:right="0" w:hanging="0"/>
        <w:jc w:val="left"/>
        <w:rPr/>
      </w:pPr>
      <w:r>
        <w:rPr/>
        <w:t>​</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17</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MetaVia Inc.</w:t>
      </w:r>
    </w:p>
    <w:p>
      <w:pPr>
        <w:pStyle w:val="TextBody"/>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Form 10-Q</w:t>
      </w:r>
    </w:p>
    <w:p>
      <w:pPr>
        <w:pStyle w:val="TextBody"/>
        <w:bidi w:val="0"/>
        <w:spacing w:lineRule="auto" w:line="285" w:before="0" w:after="0"/>
        <w:ind w:left="0" w:right="0" w:hanging="0"/>
        <w:jc w:val="center"/>
        <w:rPr/>
      </w:pPr>
      <w:r>
        <w:rPr/>
        <w:t>​</w:t>
      </w:r>
    </w:p>
    <w:p>
      <w:pPr>
        <w:pStyle w:val="TextBody"/>
        <w:bidi w:val="0"/>
        <w:spacing w:lineRule="auto" w:line="285" w:before="0" w:after="160"/>
        <w:ind w:left="0" w:right="0" w:hanging="0"/>
        <w:jc w:val="left"/>
        <w:rPr>
          <w:rFonts w:ascii="Times New Roman;Times;serif" w:hAnsi="Times New Roman;Times;serif"/>
          <w:sz w:val="20"/>
        </w:rPr>
      </w:pPr>
      <w:bookmarkStart w:id="804" w:name="ITEM2MANAGEMENTSDISCUSSION_974141"/>
      <w:bookmarkStart w:id="805" w:name="_b69a0dcc_0bc6_49a1_9e71_1298d433e9d7"/>
      <w:bookmarkStart w:id="806" w:name="_Hlk147358260"/>
      <w:bookmarkEnd w:id="804"/>
      <w:bookmarkEnd w:id="805"/>
      <w:bookmarkEnd w:id="806"/>
      <w:r>
        <w:rPr>
          <w:rFonts w:ascii="Times New Roman;Times;serif" w:hAnsi="Times New Roman;Times;serif"/>
          <w:b/>
          <w:i w:val="false"/>
          <w:caps w:val="false"/>
          <w:smallCaps w:val="false"/>
          <w:sz w:val="20"/>
        </w:rPr>
        <w:t>Item 2.</w:t>
      </w:r>
      <w:r>
        <w:rPr>
          <w:rFonts w:ascii="Times New Roman;Times;serif" w:hAnsi="Times New Roman;Times;serif"/>
          <w:b/>
          <w:sz w:val="20"/>
        </w:rPr>
        <w:t>Management’s Discussion and Analysis of Financial Condition and</w:t>
      </w:r>
      <w:r>
        <w:rPr>
          <w:rFonts w:ascii="Times New Roman;Times;serif" w:hAnsi="Times New Roman;Times;serif"/>
          <w:sz w:val="20"/>
        </w:rPr>
        <w:t xml:space="preserve"> </w:t>
      </w:r>
      <w:r>
        <w:rPr>
          <w:rFonts w:ascii="Times New Roman;Times;serif" w:hAnsi="Times New Roman;Times;serif"/>
          <w:b/>
          <w:sz w:val="20"/>
        </w:rPr>
        <w:t>Results of Operations</w:t>
      </w:r>
    </w:p>
    <w:p>
      <w:pPr>
        <w:pStyle w:val="TextBody"/>
        <w:pBdr/>
        <w:bidi w:val="0"/>
        <w:spacing w:lineRule="auto" w:line="285" w:before="0" w:after="0"/>
        <w:ind w:left="0" w:right="0" w:hanging="0"/>
        <w:jc w:val="both"/>
        <w:rPr>
          <w:rFonts w:ascii="Times New Roman;Times;serif" w:hAnsi="Times New Roman;Times;serif"/>
          <w:sz w:val="20"/>
        </w:rPr>
      </w:pPr>
      <w:r>
        <w:rPr>
          <w:rFonts w:ascii="Times New Roman;Times;serif" w:hAnsi="Times New Roman;Times;serif"/>
          <w:sz w:val="20"/>
        </w:rPr>
        <w:t xml:space="preserve">The following discussion and analysis of our financial condition and results of operations should be read in conjunction with the unaudited condensed consolidated financial statements and related notes included elsewhere in this Report and the audited financial statements and related notes included in our </w:t>
      </w:r>
      <w:r>
        <w:rPr>
          <w:rFonts w:ascii="Times New Roman;Times;serif" w:hAnsi="Times New Roman;Times;serif"/>
          <w:sz w:val="20"/>
          <w:shd w:fill="FFFFFF" w:val="clear"/>
        </w:rPr>
        <w:t>2025 Form 10-K.</w:t>
      </w:r>
      <w:r>
        <w:rPr>
          <w:rFonts w:ascii="Times New Roman;Times;serif" w:hAnsi="Times New Roman;Times;serif"/>
          <w:sz w:val="20"/>
        </w:rPr>
        <w:t xml:space="preserve"> This discussion contains forward-looking statements based upon current expectations that involve risks and uncertainties. See “Special Note Regarding Forward-Looking Statements.” Our actual results may differ materially from those contained in or implied by any forward-looking statements as a result of various factors, including, but not limited to, the risks and uncertainties described under Part II, Item 1A. Risk Factors, elsewhere in this Report. Certain amounts in the following discussion and analysis may not add up due to rounding, and all percentages have been calculated using unrounded amounts.</w:t>
      </w:r>
    </w:p>
    <w:p>
      <w:pPr>
        <w:pStyle w:val="TextBody"/>
        <w:pBdr/>
        <w:shd w:fill="FFFFFF" w:val="clear"/>
        <w:bidi w:val="0"/>
        <w:spacing w:lineRule="auto" w:line="285" w:before="0" w:after="160"/>
        <w:ind w:left="0" w:right="0" w:hanging="200"/>
        <w:jc w:val="both"/>
        <w:rPr>
          <w:rFonts w:ascii="Times New Roman;Times;serif" w:hAnsi="Times New Roman;Times;serif"/>
          <w:b/>
          <w:sz w:val="20"/>
        </w:rPr>
      </w:pPr>
      <w:r>
        <w:rPr>
          <w:rFonts w:ascii="Times New Roman;Times;serif" w:hAnsi="Times New Roman;Times;serif"/>
          <w:b/>
          <w:sz w:val="20"/>
        </w:rPr>
        <w:t>Overview</w:t>
      </w:r>
    </w:p>
    <w:p>
      <w:pPr>
        <w:pStyle w:val="TextBody"/>
        <w:bidi w:val="0"/>
        <w:spacing w:before="0" w:after="160"/>
        <w:ind w:left="0" w:right="0" w:hanging="0"/>
        <w:jc w:val="both"/>
        <w:rPr>
          <w:rFonts w:ascii="Times New Roman;Times;serif" w:hAnsi="Times New Roman;Times;serif"/>
          <w:spacing w:val="4"/>
          <w:sz w:val="20"/>
        </w:rPr>
      </w:pPr>
      <w:r>
        <w:rPr>
          <w:rFonts w:ascii="Times New Roman;Times;serif" w:hAnsi="Times New Roman;Times;serif"/>
          <w:spacing w:val="4"/>
          <w:sz w:val="20"/>
        </w:rPr>
        <w:t>We are a clinical-stage biotechnology company focused primarily on developing novel pharmaceuticals to treat cardiometabolic diseases. We have two ongoing programs focused primarily on the treatment of metabolic dysfunction-associated steatohepatitis (“MASH”) and obesity.</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pacing w:val="4"/>
                <w:sz w:val="20"/>
              </w:rPr>
            </w:pPr>
            <w:r>
              <w:rPr>
                <w:rFonts w:ascii="Times New Roman;Times;serif" w:hAnsi="Times New Roman;Times;serif"/>
                <w:b w:val="false"/>
                <w:i w:val="false"/>
                <w:caps w:val="false"/>
                <w:smallCaps w:val="false"/>
                <w:spacing w:val="4"/>
                <w:sz w:val="20"/>
              </w:rPr>
              <w:t>Vanoglipel is a novel G-Protein-Coupled Receptor 119 (“GPR119”) agonist with development optionality as a standalone or combination therapy for both MASH and Type 2 Diabetes Mellitus (“T2DM”). Agonism of GPR119 in the gut promotes the release of key gut peptides, glucagon-like peptide 1 (“GLP-1”), glucagon-dependent insulinotropic polypeptide receptor, and peptide YY. These peptides play a further role in glucose metabolism, lipid metabolism and weight loss. Vanoglipel has demonstrated beneficial effects on glucose, lipid profile and liver inflammation, as demonstrated during in-vivo preclinical studies.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pacing w:val="4"/>
                <w:sz w:val="20"/>
              </w:rPr>
            </w:pPr>
            <w:r>
              <w:rPr>
                <w:rFonts w:ascii="Times New Roman;Times;serif" w:hAnsi="Times New Roman;Times;serif"/>
                <w:b w:val="false"/>
                <w:i w:val="false"/>
                <w:caps w:val="false"/>
                <w:smallCaps w:val="false"/>
                <w:spacing w:val="4"/>
                <w:sz w:val="20"/>
              </w:rPr>
              <w:t>DA-1726 is a novel oxyntomodulin analog agonist functioning as a GLP-1 receptor (“GLP1R”) and glucagon receptor (“GCGR”) dual agonist for the treatment of obesity that is designed to be administered once weekly subcutaneously. With the activation of the dual agonist, weight loss may be achieved by GLP1R reducing appetite while GCGR increases energy expenditure.</w:t>
            </w:r>
          </w:p>
        </w:tc>
      </w:tr>
    </w:tbl>
    <w:p>
      <w:pPr>
        <w:pStyle w:val="TextBody"/>
        <w:pBdr/>
        <w:shd w:fill="FFFFFF" w:val="clear"/>
        <w:bidi w:val="0"/>
        <w:spacing w:lineRule="auto" w:line="285" w:before="0" w:after="0"/>
        <w:ind w:left="0" w:right="0" w:hanging="0"/>
        <w:jc w:val="both"/>
        <w:rPr>
          <w:rFonts w:ascii="Times New Roman;Times;serif" w:hAnsi="Times New Roman;Times;serif"/>
          <w:color w:val="212529"/>
          <w:spacing w:val="4"/>
          <w:sz w:val="20"/>
        </w:rPr>
      </w:pPr>
      <w:r>
        <w:rPr>
          <w:rFonts w:ascii="Times New Roman;Times;serif" w:hAnsi="Times New Roman;Times;serif"/>
          <w:color w:val="212529"/>
          <w:spacing w:val="4"/>
          <w:sz w:val="20"/>
        </w:rPr>
        <w:t>While we primarily focus our financial resources and management’s attention on the development of vanoglipel and DA-1726, we also have four legacy therapeutic programs designed to impact a range of indications in viral, neurodegenerative and cardiometabolic diseases on which we are not planning to advance development and have, or continue to consider for, out-licensing and divestiture opportunities.</w:t>
      </w:r>
    </w:p>
    <w:p>
      <w:pPr>
        <w:pStyle w:val="TextBody"/>
        <w:shd w:fill="FFFFFF" w:val="clear"/>
        <w:bidi w:val="0"/>
        <w:spacing w:lineRule="auto" w:line="285" w:before="0" w:after="160"/>
        <w:ind w:left="0" w:right="0" w:hanging="0"/>
        <w:jc w:val="both"/>
        <w:rPr>
          <w:rFonts w:ascii="Times New Roman;Times;serif" w:hAnsi="Times New Roman;Times;serif"/>
          <w:sz w:val="20"/>
        </w:rPr>
      </w:pPr>
      <w:r>
        <w:rPr>
          <w:rFonts w:ascii="Times New Roman;Times;serif" w:hAnsi="Times New Roman;Times;serif"/>
          <w:sz w:val="20"/>
        </w:rPr>
        <w:t>Our operations have consisted principally of performing research and development (“R&amp;D”) activities, which includes preclinical developments and clinical trials, and raising capital. Our activities are subject to significant risks and uncertainties, such as failing to secure additional funding before sustainable revenues and profit from operations are achieved. For more information on our business and product candidates, see “Part I, Item 1. Business” in our 2025 Form 10-K.</w:t>
      </w:r>
    </w:p>
    <w:p>
      <w:pPr>
        <w:pStyle w:val="TextBody"/>
        <w:bidi w:val="0"/>
        <w:spacing w:lineRule="auto" w:line="285" w:before="0" w:after="160"/>
        <w:ind w:left="0" w:right="0" w:hanging="0"/>
        <w:jc w:val="both"/>
        <w:rPr>
          <w:rFonts w:ascii="Times New Roman;Times;serif" w:hAnsi="Times New Roman;Times;serif"/>
          <w:i/>
          <w:sz w:val="20"/>
        </w:rPr>
      </w:pPr>
      <w:r>
        <w:rPr>
          <w:rFonts w:ascii="Times New Roman;Times;serif" w:hAnsi="Times New Roman;Times;serif"/>
          <w:i/>
          <w:sz w:val="20"/>
        </w:rPr>
        <w:t>Vanoglipel</w:t>
      </w:r>
    </w:p>
    <w:p>
      <w:pPr>
        <w:pStyle w:val="TextBody"/>
        <w:bidi w:val="0"/>
        <w:spacing w:lineRule="auto" w:line="285" w:before="0" w:after="160"/>
        <w:ind w:left="0" w:right="0" w:hanging="0"/>
        <w:jc w:val="both"/>
        <w:rPr>
          <w:rFonts w:ascii="Times New Roman;Times;serif" w:hAnsi="Times New Roman;Times;serif"/>
          <w:sz w:val="20"/>
        </w:rPr>
      </w:pPr>
      <w:r>
        <w:rPr>
          <w:rFonts w:ascii="Times New Roman;Times;serif" w:hAnsi="Times New Roman;Times;serif"/>
          <w:sz w:val="20"/>
          <w:shd w:fill="FFFFFF" w:val="clear"/>
        </w:rPr>
        <w:t>We initiated a Phase 2a clinical trial in 2023 with the goal of establishing the mechanism of action and efficacy of vanoglipel in the treatment of MASH and to evaluate trends for T2DM. This is the first-in-human MASH clinical trial for vanoglipel. We are expecting to finalize the Clinical Study Report of the Phase 2a clinical trial in the fourth quarter of 2026.</w:t>
      </w:r>
      <w:r>
        <w:rPr>
          <w:rFonts w:ascii="Times New Roman;Times;serif" w:hAnsi="Times New Roman;Times;serif"/>
          <w:sz w:val="20"/>
        </w:rPr>
        <w:t xml:space="preserve"> We are also currently working to schedule an end-of-Phase 2 meeting with the Food and Drug Administration to discuss the clinical development pathway for the vanoglipel combination therapy. </w:t>
      </w:r>
    </w:p>
    <w:p>
      <w:pPr>
        <w:pStyle w:val="TextBody"/>
        <w:bidi w:val="0"/>
        <w:spacing w:lineRule="auto" w:line="285" w:before="0" w:after="160"/>
        <w:ind w:left="0" w:right="0" w:hanging="0"/>
        <w:jc w:val="both"/>
        <w:rPr>
          <w:rFonts w:ascii="Times New Roman;Times;serif" w:hAnsi="Times New Roman;Times;serif"/>
          <w:sz w:val="20"/>
        </w:rPr>
      </w:pPr>
      <w:r>
        <w:rPr>
          <w:rFonts w:ascii="Times New Roman;Times;serif" w:hAnsi="Times New Roman;Times;serif"/>
          <w:sz w:val="20"/>
        </w:rPr>
        <w:t>For additional information on vanoglipel, including a</w:t>
      </w:r>
      <w:r>
        <w:rPr>
          <w:rFonts w:ascii="Times New Roman;Times;serif" w:hAnsi="Times New Roman;Times;serif"/>
          <w:sz w:val="20"/>
          <w:shd w:fill="FFFFFF" w:val="clear"/>
        </w:rPr>
        <w:t xml:space="preserve">n overview of the top-line 16-week results from the two-part Phase 2a clinical trial, </w:t>
      </w:r>
      <w:r>
        <w:rPr>
          <w:rFonts w:ascii="Times New Roman;Times;serif" w:hAnsi="Times New Roman;Times;serif"/>
          <w:sz w:val="20"/>
        </w:rPr>
        <w:t>see “Part I, Item 1. Business, Our Pipeline, vanoglipel (DA-1241) Treatment of MASH” in our 2025 Form 10-K and our Current Reports on Form 8-Ks dated May 18, 2026 and June 8, 2026.</w:t>
      </w:r>
    </w:p>
    <w:p>
      <w:pPr>
        <w:pStyle w:val="TextBody"/>
        <w:bidi w:val="0"/>
        <w:spacing w:lineRule="auto" w:line="285" w:before="0" w:after="160"/>
        <w:ind w:left="0" w:right="0" w:hanging="0"/>
        <w:jc w:val="both"/>
        <w:rPr>
          <w:rFonts w:ascii="Times New Roman;Times;serif" w:hAnsi="Times New Roman;Times;serif"/>
          <w:i/>
          <w:sz w:val="20"/>
        </w:rPr>
      </w:pPr>
      <w:r>
        <w:rPr>
          <w:rFonts w:ascii="Times New Roman;Times;serif" w:hAnsi="Times New Roman;Times;serif"/>
          <w:i/>
          <w:sz w:val="20"/>
        </w:rPr>
        <w:t>DA-1726</w:t>
      </w:r>
    </w:p>
    <w:p>
      <w:pPr>
        <w:pStyle w:val="TextBody"/>
        <w:bidi w:val="0"/>
        <w:spacing w:lineRule="auto" w:line="285" w:before="0" w:after="0"/>
        <w:ind w:left="0" w:right="0" w:hanging="0"/>
        <w:jc w:val="both"/>
        <w:rPr>
          <w:rFonts w:ascii="Times New Roman;Times;serif" w:hAnsi="Times New Roman;Times;serif"/>
          <w:sz w:val="20"/>
          <w:shd w:fill="FFFFFF" w:val="clear"/>
        </w:rPr>
      </w:pPr>
      <w:r>
        <w:rPr>
          <w:rFonts w:ascii="Times New Roman;Times;serif" w:hAnsi="Times New Roman;Times;serif"/>
          <w:sz w:val="20"/>
          <w:shd w:fill="FFFFFF" w:val="clear"/>
        </w:rPr>
        <w:t>We initiated a Phase 1 clinical trial in 2024 with the goal of establishing the safety and tolerability of DA-1726 while exploring the mechanism of action and efficacy of DA-1726 in the treatment of obesity. This is the first-in-human clinical trial for DA-</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18</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MetaVia Inc.</w:t>
      </w:r>
    </w:p>
    <w:p>
      <w:pPr>
        <w:pStyle w:val="TextBody"/>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Form 10-Q</w:t>
      </w:r>
    </w:p>
    <w:p>
      <w:pPr>
        <w:pStyle w:val="TextBody"/>
        <w:bidi w:val="0"/>
        <w:spacing w:lineRule="auto" w:line="285" w:before="0" w:after="0"/>
        <w:ind w:left="0" w:right="0" w:hanging="0"/>
        <w:jc w:val="center"/>
        <w:rPr/>
      </w:pPr>
      <w:r>
        <w:rPr/>
        <w:t>​</w:t>
      </w:r>
    </w:p>
    <w:p>
      <w:pPr>
        <w:pStyle w:val="TextBody"/>
        <w:bidi w:val="0"/>
        <w:spacing w:lineRule="auto" w:line="285" w:before="0" w:after="160"/>
        <w:ind w:left="0" w:right="0" w:hanging="0"/>
        <w:jc w:val="both"/>
        <w:rPr>
          <w:rFonts w:ascii="Times New Roman;Times;serif" w:hAnsi="Times New Roman;Times;serif"/>
          <w:sz w:val="20"/>
        </w:rPr>
      </w:pPr>
      <w:r>
        <w:rPr>
          <w:rFonts w:ascii="Times New Roman;Times;serif" w:hAnsi="Times New Roman;Times;serif"/>
          <w:sz w:val="20"/>
          <w:shd w:fill="FFFFFF" w:val="clear"/>
        </w:rPr>
        <w:t>1726. We started Part 3a and Part 3b of the Phase 1 clinical trial in April 2026. Part 3a will be a one-step titration with 16 mg for four weeks and 48 mg for 12 weeks. Part 3b will be a two-step titration with 16 mg for four weeks, 32 mg for four weeks and 64 mg for eight weeks. These titration studies are to see if the graduated increase in dose can remove any moderate adverse effects from the 48 mg dose level and to seek DA-1726 at a higher dose level of 64 mg. We expect dose-dependent exploratory weight loss and other early signals in the exploratory endpoints with potential for best-in-class safety and tolerability. The data readout for both Part 3a and Part 3b is planned for the fourth quarter of 2026.</w:t>
      </w:r>
      <w:r>
        <w:rPr>
          <w:rFonts w:ascii="Times New Roman;Times;serif" w:hAnsi="Times New Roman;Times;serif"/>
          <w:sz w:val="20"/>
        </w:rPr>
        <w:t xml:space="preserve"> </w:t>
      </w:r>
    </w:p>
    <w:p>
      <w:pPr>
        <w:pStyle w:val="TextBody"/>
        <w:pBdr/>
        <w:bidi w:val="0"/>
        <w:spacing w:lineRule="auto" w:line="285" w:before="0" w:after="0"/>
        <w:ind w:left="0" w:right="0" w:hanging="0"/>
        <w:jc w:val="both"/>
        <w:rPr>
          <w:rFonts w:ascii="Times New Roman;Times;serif" w:hAnsi="Times New Roman;Times;serif"/>
          <w:sz w:val="20"/>
        </w:rPr>
      </w:pPr>
      <w:r>
        <w:rPr>
          <w:rFonts w:ascii="Times New Roman;Times;serif" w:hAnsi="Times New Roman;Times;serif"/>
          <w:sz w:val="20"/>
        </w:rPr>
        <w:t>For additional information on DA-1726, see “Part I, Item 1. Business, Our Pipeline, DA-1726 Treatment of Obesity” in our 2025 Form 10-K and our Current Reports on Form 8-Ks dated January 5, 2026, March 18, 2026, April 10, 2026, May 11, 2026, May 18, 2026, May 27, 2026, June 8, 2026 and July 9, 2026.</w:t>
      </w:r>
    </w:p>
    <w:p>
      <w:pPr>
        <w:pStyle w:val="TextBody"/>
        <w:shd w:fill="FFFFFF" w:val="clear"/>
        <w:bidi w:val="0"/>
        <w:spacing w:lineRule="auto" w:line="285" w:before="0" w:after="160"/>
        <w:ind w:left="0" w:right="0" w:hanging="0"/>
        <w:jc w:val="both"/>
        <w:rPr>
          <w:rFonts w:ascii="Times New Roman;Times;serif" w:hAnsi="Times New Roman;Times;serif"/>
          <w:b/>
          <w:sz w:val="20"/>
        </w:rPr>
      </w:pPr>
      <w:r>
        <w:rPr>
          <w:rFonts w:ascii="Times New Roman;Times;serif" w:hAnsi="Times New Roman;Times;serif"/>
          <w:b/>
          <w:sz w:val="20"/>
        </w:rPr>
        <w:t>Recent developments</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April 2026: Dosed the first patient in the Phase 1, Part 3 clinical trial for DA-1726 in obese, otherwise healthy adults using one-step titration to 48 mg and two-step titration to 64 mg to safely achieve higher target doses and optimize tolerability.</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May 2026: Presented additional data from the 48 mg Phase 1 clinical trial of DA-1726 at the European Association for the Study of the Liver Congress 2026 (EASL 2026), which was held May 27-30 in Barcelona, Spain, demonstrating up to 9.1% mean body weight reduction without evidence of plateau and exploratory improvements in liver-related biomarkers, supporting the potential of DA-1726 in obesity and MASH.</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June 2026: Presented new late-breaking data at the American Diabetes Association’s (ADA) 2026 Scientific Sessions, which was held in New Orleans, Louisiana, United States, supporting DA-1726's differentiated obesity profile and demonstrating the combination potential of vanoglipel with resmetirom in MASH and metformin in type 2 diabetes.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July 2026: Announced the completion of dose titration in the 16-week, Phase 1 Part 3 study of DA-1726, with all active patients successfully reaching the highest planned dose levels of 48 mg and 64 mg.</w:t>
            </w:r>
          </w:p>
        </w:tc>
      </w:tr>
    </w:tbl>
    <w:p>
      <w:pPr>
        <w:pStyle w:val="TextBody"/>
        <w:bidi w:val="0"/>
        <w:spacing w:lineRule="auto" w:line="285" w:before="0" w:after="160"/>
        <w:ind w:left="0" w:right="0" w:hanging="0"/>
        <w:jc w:val="both"/>
        <w:rPr>
          <w:rFonts w:ascii="Times New Roman;Times;serif" w:hAnsi="Times New Roman;Times;serif"/>
          <w:b/>
          <w:sz w:val="20"/>
        </w:rPr>
      </w:pPr>
      <w:r>
        <w:rPr>
          <w:rFonts w:ascii="Times New Roman;Times;serif" w:hAnsi="Times New Roman;Times;serif"/>
          <w:b/>
          <w:sz w:val="20"/>
        </w:rPr>
        <w:t>Key operating information</w:t>
      </w:r>
    </w:p>
    <w:p>
      <w:pPr>
        <w:pStyle w:val="TextBody"/>
        <w:pBdr/>
        <w:bidi w:val="0"/>
        <w:spacing w:lineRule="auto" w:line="285" w:before="0" w:after="0"/>
        <w:ind w:left="0" w:right="0" w:hanging="0"/>
        <w:jc w:val="both"/>
        <w:rPr>
          <w:rFonts w:ascii="Times New Roman;Times;serif" w:hAnsi="Times New Roman;Times;serif"/>
          <w:sz w:val="20"/>
        </w:rPr>
      </w:pPr>
      <w:r>
        <w:rPr>
          <w:rFonts w:ascii="Times New Roman;Times;serif" w:hAnsi="Times New Roman;Times;serif"/>
          <w:sz w:val="20"/>
        </w:rPr>
        <w:t xml:space="preserve">Our key operating information is described in “Key operating information” within “Part II, Item 7. Management’s Discussion and Analysis of Financial Condition and Results of Operations” in </w:t>
      </w:r>
      <w:r>
        <w:rPr>
          <w:rFonts w:ascii="Times New Roman;Times;serif" w:hAnsi="Times New Roman;Times;serif"/>
          <w:sz w:val="20"/>
          <w:shd w:fill="FFFFFF" w:val="clear"/>
        </w:rPr>
        <w:t xml:space="preserve">our 2025 Form 10-K. There have been no material changes to our key operating information. </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19</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MetaVia Inc.</w:t>
      </w:r>
    </w:p>
    <w:p>
      <w:pPr>
        <w:pStyle w:val="TextBody"/>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Form 10-Q</w:t>
      </w:r>
    </w:p>
    <w:p>
      <w:pPr>
        <w:pStyle w:val="TextBody"/>
        <w:bidi w:val="0"/>
        <w:spacing w:lineRule="auto" w:line="285" w:before="0" w:after="0"/>
        <w:ind w:left="0" w:right="0" w:hanging="0"/>
        <w:jc w:val="center"/>
        <w:rPr/>
      </w:pPr>
      <w:r>
        <w:rPr/>
        <w:t>​</w:t>
      </w:r>
    </w:p>
    <w:p>
      <w:pPr>
        <w:pStyle w:val="TextBody"/>
        <w:shd w:fill="FFFFFF" w:val="clear"/>
        <w:bidi w:val="0"/>
        <w:spacing w:lineRule="auto" w:line="285" w:before="0" w:after="160"/>
        <w:ind w:left="0" w:right="0" w:hanging="0"/>
        <w:jc w:val="both"/>
        <w:rPr>
          <w:rFonts w:ascii="Times New Roman;Times;serif" w:hAnsi="Times New Roman;Times;serif"/>
          <w:b/>
          <w:sz w:val="20"/>
        </w:rPr>
      </w:pPr>
      <w:bookmarkStart w:id="807" w:name="ResultsofOperations_312446"/>
      <w:bookmarkEnd w:id="807"/>
      <w:r>
        <w:rPr>
          <w:rFonts w:ascii="Times New Roman;Times;serif" w:hAnsi="Times New Roman;Times;serif"/>
          <w:b/>
          <w:sz w:val="20"/>
        </w:rPr>
        <w:t>Results of operations</w:t>
      </w:r>
    </w:p>
    <w:p>
      <w:pPr>
        <w:pStyle w:val="TextBody"/>
        <w:bidi w:val="0"/>
        <w:spacing w:lineRule="auto" w:line="285" w:before="0" w:after="160"/>
        <w:ind w:left="0" w:right="0" w:hanging="0"/>
        <w:jc w:val="left"/>
        <w:rPr>
          <w:rFonts w:ascii="Times New Roman;Times;serif" w:hAnsi="Times New Roman;Times;serif"/>
          <w:b/>
          <w:sz w:val="20"/>
        </w:rPr>
      </w:pPr>
      <w:r>
        <w:rPr>
          <w:rFonts w:ascii="Times New Roman;Times;serif" w:hAnsi="Times New Roman;Times;serif"/>
          <w:b/>
          <w:sz w:val="20"/>
        </w:rPr>
        <w:t>Three months ended June 30, 2026 compared to three months ended June 30, 2025</w:t>
      </w:r>
    </w:p>
    <w:p>
      <w:pPr>
        <w:pStyle w:val="TextBody"/>
        <w:bidi w:val="0"/>
        <w:spacing w:lineRule="auto" w:line="285" w:before="0" w:after="160"/>
        <w:ind w:left="0" w:right="0" w:hanging="0"/>
        <w:jc w:val="both"/>
        <w:rPr>
          <w:rFonts w:ascii="Times New Roman;Times;serif" w:hAnsi="Times New Roman;Times;serif"/>
          <w:sz w:val="20"/>
        </w:rPr>
      </w:pPr>
      <w:r>
        <w:rPr>
          <w:rFonts w:ascii="Times New Roman;Times;serif" w:hAnsi="Times New Roman;Times;serif"/>
          <w:sz w:val="20"/>
        </w:rPr>
        <w:t>The following table summarizes our results of operations (in thousands, except share and per share amounts):</w:t>
      </w:r>
    </w:p>
    <w:tbl>
      <w:tblPr>
        <w:tblW w:w="7982" w:type="dxa"/>
        <w:jc w:val="left"/>
        <w:tblInd w:w="0" w:type="dxa"/>
        <w:tblLayout w:type="fixed"/>
        <w:tblCellMar>
          <w:top w:w="0" w:type="dxa"/>
          <w:left w:w="0" w:type="dxa"/>
          <w:bottom w:w="0" w:type="dxa"/>
          <w:right w:w="0" w:type="dxa"/>
        </w:tblCellMar>
      </w:tblPr>
      <w:tblGrid>
        <w:gridCol w:w="5056"/>
        <w:gridCol w:w="346"/>
        <w:gridCol w:w="217"/>
        <w:gridCol w:w="958"/>
        <w:gridCol w:w="112"/>
        <w:gridCol w:w="217"/>
        <w:gridCol w:w="1076"/>
      </w:tblGrid>
      <w:tr>
        <w:trPr/>
        <w:tc>
          <w:tcPr>
            <w:tcW w:w="50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0">
                      <wp:simplePos x="0" y="0"/>
                      <wp:positionH relativeFrom="character">
                        <wp:align>left</wp:align>
                      </wp:positionH>
                      <wp:positionV relativeFrom="line">
                        <wp:posOffset>635</wp:posOffset>
                      </wp:positionV>
                      <wp:extent cx="3210560" cy="175260"/>
                      <wp:effectExtent l="0" t="0" r="0" b="0"/>
                      <wp:wrapNone/>
                      <wp:docPr id="169" name="Frame168"/>
                      <a:graphic xmlns:a="http://schemas.openxmlformats.org/drawingml/2006/main">
                        <a:graphicData uri="http://schemas.microsoft.com/office/word/2010/wordprocessingShape">
                          <wps:wsp>
                            <wps:cNvSpPr txBox="1"/>
                            <wps:spPr>
                              <a:xfrm>
                                <a:off x="0" y="0"/>
                                <a:ext cx="321056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1">
                      <wp:simplePos x="0" y="0"/>
                      <wp:positionH relativeFrom="character">
                        <wp:align>left</wp:align>
                      </wp:positionH>
                      <wp:positionV relativeFrom="line">
                        <wp:posOffset>635</wp:posOffset>
                      </wp:positionV>
                      <wp:extent cx="219710" cy="175260"/>
                      <wp:effectExtent l="0" t="0" r="0" b="0"/>
                      <wp:wrapNone/>
                      <wp:docPr id="170" name="Frame16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1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2">
                      <wp:simplePos x="0" y="0"/>
                      <wp:positionH relativeFrom="character">
                        <wp:align>left</wp:align>
                      </wp:positionH>
                      <wp:positionV relativeFrom="line">
                        <wp:posOffset>635</wp:posOffset>
                      </wp:positionV>
                      <wp:extent cx="137795" cy="175260"/>
                      <wp:effectExtent l="0" t="0" r="0" b="0"/>
                      <wp:wrapNone/>
                      <wp:docPr id="171" name="Frame170"/>
                      <a:graphic xmlns:a="http://schemas.openxmlformats.org/drawingml/2006/main">
                        <a:graphicData uri="http://schemas.microsoft.com/office/word/2010/wordprocessingShape">
                          <wps:wsp>
                            <wps:cNvSpPr txBox="1"/>
                            <wps:spPr>
                              <a:xfrm>
                                <a:off x="0" y="0"/>
                                <a:ext cx="13779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95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3">
                      <wp:simplePos x="0" y="0"/>
                      <wp:positionH relativeFrom="character">
                        <wp:align>left</wp:align>
                      </wp:positionH>
                      <wp:positionV relativeFrom="line">
                        <wp:posOffset>635</wp:posOffset>
                      </wp:positionV>
                      <wp:extent cx="608330" cy="175260"/>
                      <wp:effectExtent l="0" t="0" r="0" b="0"/>
                      <wp:wrapNone/>
                      <wp:docPr id="172" name="Frame171"/>
                      <a:graphic xmlns:a="http://schemas.openxmlformats.org/drawingml/2006/main">
                        <a:graphicData uri="http://schemas.microsoft.com/office/word/2010/wordprocessingShape">
                          <wps:wsp>
                            <wps:cNvSpPr txBox="1"/>
                            <wps:spPr>
                              <a:xfrm>
                                <a:off x="0" y="0"/>
                                <a:ext cx="60833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1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4">
                      <wp:simplePos x="0" y="0"/>
                      <wp:positionH relativeFrom="character">
                        <wp:align>left</wp:align>
                      </wp:positionH>
                      <wp:positionV relativeFrom="line">
                        <wp:posOffset>635</wp:posOffset>
                      </wp:positionV>
                      <wp:extent cx="71120" cy="175260"/>
                      <wp:effectExtent l="0" t="0" r="0" b="0"/>
                      <wp:wrapNone/>
                      <wp:docPr id="173" name="Frame172"/>
                      <a:graphic xmlns:a="http://schemas.openxmlformats.org/drawingml/2006/main">
                        <a:graphicData uri="http://schemas.microsoft.com/office/word/2010/wordprocessingShape">
                          <wps:wsp>
                            <wps:cNvSpPr txBox="1"/>
                            <wps:spPr>
                              <a:xfrm>
                                <a:off x="0" y="0"/>
                                <a:ext cx="7112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1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5">
                      <wp:simplePos x="0" y="0"/>
                      <wp:positionH relativeFrom="character">
                        <wp:align>left</wp:align>
                      </wp:positionH>
                      <wp:positionV relativeFrom="line">
                        <wp:posOffset>635</wp:posOffset>
                      </wp:positionV>
                      <wp:extent cx="137795" cy="175260"/>
                      <wp:effectExtent l="0" t="0" r="0" b="0"/>
                      <wp:wrapNone/>
                      <wp:docPr id="174" name="Frame173"/>
                      <a:graphic xmlns:a="http://schemas.openxmlformats.org/drawingml/2006/main">
                        <a:graphicData uri="http://schemas.microsoft.com/office/word/2010/wordprocessingShape">
                          <wps:wsp>
                            <wps:cNvSpPr txBox="1"/>
                            <wps:spPr>
                              <a:xfrm>
                                <a:off x="0" y="0"/>
                                <a:ext cx="13779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0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6">
                      <wp:simplePos x="0" y="0"/>
                      <wp:positionH relativeFrom="character">
                        <wp:align>left</wp:align>
                      </wp:positionH>
                      <wp:positionV relativeFrom="line">
                        <wp:posOffset>635</wp:posOffset>
                      </wp:positionV>
                      <wp:extent cx="683260" cy="175260"/>
                      <wp:effectExtent l="0" t="0" r="0" b="0"/>
                      <wp:wrapNone/>
                      <wp:docPr id="175" name="Frame174"/>
                      <a:graphic xmlns:a="http://schemas.openxmlformats.org/drawingml/2006/main">
                        <a:graphicData uri="http://schemas.microsoft.com/office/word/2010/wordprocessingShape">
                          <wps:wsp>
                            <wps:cNvSpPr txBox="1"/>
                            <wps:spPr>
                              <a:xfrm>
                                <a:off x="0" y="0"/>
                                <a:ext cx="68326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r>
      <w:tr>
        <w:trPr/>
        <w:tc>
          <w:tcPr>
            <w:tcW w:w="5056"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2580" w:type="dxa"/>
            <w:gridSpan w:val="5"/>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Three Months Ended June 30,</w:t>
            </w:r>
          </w:p>
        </w:tc>
      </w:tr>
      <w:tr>
        <w:trPr/>
        <w:tc>
          <w:tcPr>
            <w:tcW w:w="5056"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346"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  ​ ​ ​</w:t>
            </w:r>
          </w:p>
        </w:tc>
        <w:tc>
          <w:tcPr>
            <w:tcW w:w="1175"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2026</w:t>
            </w:r>
          </w:p>
        </w:tc>
        <w:tc>
          <w:tcPr>
            <w:tcW w:w="112"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1293"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2025</w:t>
            </w:r>
          </w:p>
        </w:tc>
      </w:tr>
      <w:tr>
        <w:trPr/>
        <w:tc>
          <w:tcPr>
            <w:tcW w:w="505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Operating expenses</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7" w:type="dxa"/>
            <w:tcBorders/>
            <w:shd w:fill="CCEEFF" w:val="clear"/>
            <w:vAlign w:val="center"/>
          </w:tcPr>
          <w:p>
            <w:pPr>
              <w:pStyle w:val="TableContents"/>
              <w:bidi w:val="0"/>
              <w:spacing w:lineRule="auto" w:line="285" w:before="0" w:after="0"/>
              <w:ind w:left="0" w:right="0" w:hanging="0"/>
              <w:jc w:val="left"/>
              <w:rPr/>
            </w:pPr>
            <w:r>
              <w:rPr/>
              <w:t>​</w:t>
            </w:r>
          </w:p>
        </w:tc>
        <w:tc>
          <w:tcPr>
            <w:tcW w:w="958" w:type="dxa"/>
            <w:tcBorders/>
            <w:shd w:fill="CCEEFF" w:val="clear"/>
            <w:vAlign w:val="center"/>
          </w:tcPr>
          <w:p>
            <w:pPr>
              <w:pStyle w:val="TableContents"/>
              <w:bidi w:val="0"/>
              <w:spacing w:lineRule="auto" w:line="285" w:before="0" w:after="0"/>
              <w:ind w:left="0" w:right="0" w:hanging="0"/>
              <w:jc w:val="left"/>
              <w:rPr/>
            </w:pPr>
            <w:r>
              <w:rPr/>
              <w:t>​</w:t>
            </w:r>
          </w:p>
        </w:tc>
        <w:tc>
          <w:tcPr>
            <w:tcW w:w="112" w:type="dxa"/>
            <w:tcBorders/>
            <w:shd w:fill="CCEEFF" w:val="clear"/>
            <w:vAlign w:val="center"/>
          </w:tcPr>
          <w:p>
            <w:pPr>
              <w:pStyle w:val="TableContents"/>
              <w:bidi w:val="0"/>
              <w:spacing w:lineRule="auto" w:line="285" w:before="0" w:after="0"/>
              <w:ind w:left="0" w:right="0" w:hanging="0"/>
              <w:jc w:val="left"/>
              <w:rPr/>
            </w:pPr>
            <w:r>
              <w:rPr/>
              <w:t>​</w:t>
            </w:r>
          </w:p>
        </w:tc>
        <w:tc>
          <w:tcPr>
            <w:tcW w:w="217" w:type="dxa"/>
            <w:tcBorders/>
            <w:shd w:fill="CCEEFF" w:val="clear"/>
            <w:vAlign w:val="center"/>
          </w:tcPr>
          <w:p>
            <w:pPr>
              <w:pStyle w:val="TableContents"/>
              <w:bidi w:val="0"/>
              <w:spacing w:lineRule="auto" w:line="285" w:before="0" w:after="0"/>
              <w:ind w:left="0" w:right="0" w:hanging="0"/>
              <w:jc w:val="left"/>
              <w:rPr/>
            </w:pPr>
            <w:r>
              <w:rPr/>
              <w:t>​</w:t>
            </w:r>
          </w:p>
        </w:tc>
        <w:tc>
          <w:tcPr>
            <w:tcW w:w="1076" w:type="dxa"/>
            <w:tcBorders/>
            <w:shd w:fill="CCEEFF" w:val="clear"/>
            <w:vAlign w:val="center"/>
          </w:tcPr>
          <w:p>
            <w:pPr>
              <w:pStyle w:val="TableContents"/>
              <w:bidi w:val="0"/>
              <w:spacing w:lineRule="auto" w:line="285" w:before="0" w:after="0"/>
              <w:ind w:left="0" w:right="0" w:hanging="0"/>
              <w:jc w:val="left"/>
              <w:rPr/>
            </w:pPr>
            <w:r>
              <w:rPr/>
              <w:t>​</w:t>
            </w:r>
          </w:p>
        </w:tc>
      </w:tr>
      <w:tr>
        <w:trPr/>
        <w:tc>
          <w:tcPr>
            <w:tcW w:w="5056"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Research and development</w:t>
            </w:r>
          </w:p>
        </w:tc>
        <w:tc>
          <w:tcPr>
            <w:tcW w:w="346" w:type="dxa"/>
            <w:tcBorders/>
            <w:vAlign w:val="center"/>
          </w:tcPr>
          <w:p>
            <w:pPr>
              <w:pStyle w:val="TableContents"/>
              <w:bidi w:val="0"/>
              <w:spacing w:lineRule="auto" w:line="285" w:before="0" w:after="0"/>
              <w:ind w:left="0" w:right="0" w:hanging="0"/>
              <w:jc w:val="left"/>
              <w:rPr/>
            </w:pPr>
            <w:r>
              <w:rPr/>
              <w:t>​</w:t>
            </w:r>
          </w:p>
        </w:tc>
        <w:tc>
          <w:tcPr>
            <w:tcW w:w="217"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58"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3,478</w:t>
            </w:r>
          </w:p>
        </w:tc>
        <w:tc>
          <w:tcPr>
            <w:tcW w:w="112" w:type="dxa"/>
            <w:tcBorders/>
            <w:vAlign w:val="center"/>
          </w:tcPr>
          <w:p>
            <w:pPr>
              <w:pStyle w:val="TableContents"/>
              <w:bidi w:val="0"/>
              <w:spacing w:lineRule="auto" w:line="285" w:before="0" w:after="0"/>
              <w:ind w:left="0" w:right="0" w:hanging="0"/>
              <w:jc w:val="left"/>
              <w:rPr/>
            </w:pPr>
            <w:r>
              <w:rPr/>
              <w:t>​</w:t>
            </w:r>
          </w:p>
        </w:tc>
        <w:tc>
          <w:tcPr>
            <w:tcW w:w="217"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76"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2,320</w:t>
            </w:r>
          </w:p>
        </w:tc>
      </w:tr>
      <w:tr>
        <w:trPr/>
        <w:tc>
          <w:tcPr>
            <w:tcW w:w="505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General and administrative</w:t>
            </w:r>
          </w:p>
        </w:tc>
        <w:tc>
          <w:tcPr>
            <w:tcW w:w="34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217"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958"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1,907</w:t>
            </w:r>
          </w:p>
        </w:tc>
        <w:tc>
          <w:tcPr>
            <w:tcW w:w="112"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217"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107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1,981</w:t>
            </w:r>
          </w:p>
        </w:tc>
      </w:tr>
      <w:tr>
        <w:trPr/>
        <w:tc>
          <w:tcPr>
            <w:tcW w:w="5056"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Total operating expenses</w:t>
            </w:r>
          </w:p>
        </w:tc>
        <w:tc>
          <w:tcPr>
            <w:tcW w:w="346"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217"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 </w:t>
            </w:r>
          </w:p>
        </w:tc>
        <w:tc>
          <w:tcPr>
            <w:tcW w:w="958"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5,385</w:t>
            </w:r>
          </w:p>
        </w:tc>
        <w:tc>
          <w:tcPr>
            <w:tcW w:w="112"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217"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 </w:t>
            </w:r>
          </w:p>
        </w:tc>
        <w:tc>
          <w:tcPr>
            <w:tcW w:w="1076"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4,301</w:t>
            </w:r>
          </w:p>
        </w:tc>
      </w:tr>
      <w:tr>
        <w:trPr/>
        <w:tc>
          <w:tcPr>
            <w:tcW w:w="505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Loss from operations</w:t>
            </w:r>
          </w:p>
        </w:tc>
        <w:tc>
          <w:tcPr>
            <w:tcW w:w="34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217"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 </w:t>
            </w:r>
          </w:p>
        </w:tc>
        <w:tc>
          <w:tcPr>
            <w:tcW w:w="958"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(5,385)</w:t>
            </w:r>
          </w:p>
        </w:tc>
        <w:tc>
          <w:tcPr>
            <w:tcW w:w="112"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217"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 </w:t>
            </w:r>
          </w:p>
        </w:tc>
        <w:tc>
          <w:tcPr>
            <w:tcW w:w="107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(4,301)</w:t>
            </w:r>
          </w:p>
        </w:tc>
      </w:tr>
      <w:tr>
        <w:trPr/>
        <w:tc>
          <w:tcPr>
            <w:tcW w:w="5056"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Other income (expense)</w:t>
            </w:r>
          </w:p>
        </w:tc>
        <w:tc>
          <w:tcPr>
            <w:tcW w:w="346" w:type="dxa"/>
            <w:tcBorders/>
            <w:vAlign w:val="center"/>
          </w:tcPr>
          <w:p>
            <w:pPr>
              <w:pStyle w:val="TableContents"/>
              <w:bidi w:val="0"/>
              <w:spacing w:lineRule="auto" w:line="285" w:before="0" w:after="0"/>
              <w:ind w:left="0" w:right="0" w:hanging="0"/>
              <w:jc w:val="left"/>
              <w:rPr/>
            </w:pPr>
            <w:r>
              <w:rPr/>
              <w:t>​</w:t>
            </w:r>
          </w:p>
        </w:tc>
        <w:tc>
          <w:tcPr>
            <w:tcW w:w="217" w:type="dxa"/>
            <w:tcBorders/>
            <w:vAlign w:val="center"/>
          </w:tcPr>
          <w:p>
            <w:pPr>
              <w:pStyle w:val="TableContents"/>
              <w:bidi w:val="0"/>
              <w:spacing w:lineRule="auto" w:line="285" w:before="0" w:after="0"/>
              <w:ind w:left="0" w:right="0" w:hanging="0"/>
              <w:jc w:val="left"/>
              <w:rPr/>
            </w:pPr>
            <w:r>
              <w:rPr/>
              <w:t>​</w:t>
            </w:r>
          </w:p>
        </w:tc>
        <w:tc>
          <w:tcPr>
            <w:tcW w:w="958" w:type="dxa"/>
            <w:tcBorders/>
            <w:vAlign w:val="center"/>
          </w:tcPr>
          <w:p>
            <w:pPr>
              <w:pStyle w:val="TableContents"/>
              <w:bidi w:val="0"/>
              <w:spacing w:lineRule="auto" w:line="285" w:before="0" w:after="0"/>
              <w:ind w:left="0" w:right="0" w:hanging="0"/>
              <w:jc w:val="right"/>
              <w:rPr/>
            </w:pPr>
            <w:r>
              <w:rPr/>
              <w:t>​</w:t>
            </w:r>
          </w:p>
        </w:tc>
        <w:tc>
          <w:tcPr>
            <w:tcW w:w="112" w:type="dxa"/>
            <w:tcBorders/>
            <w:vAlign w:val="center"/>
          </w:tcPr>
          <w:p>
            <w:pPr>
              <w:pStyle w:val="TableContents"/>
              <w:bidi w:val="0"/>
              <w:spacing w:lineRule="auto" w:line="285" w:before="0" w:after="0"/>
              <w:ind w:left="0" w:right="0" w:hanging="0"/>
              <w:jc w:val="left"/>
              <w:rPr/>
            </w:pPr>
            <w:r>
              <w:rPr/>
              <w:t>​</w:t>
            </w:r>
          </w:p>
        </w:tc>
        <w:tc>
          <w:tcPr>
            <w:tcW w:w="217" w:type="dxa"/>
            <w:tcBorders/>
            <w:vAlign w:val="center"/>
          </w:tcPr>
          <w:p>
            <w:pPr>
              <w:pStyle w:val="TableContents"/>
              <w:bidi w:val="0"/>
              <w:spacing w:lineRule="auto" w:line="285" w:before="0" w:after="0"/>
              <w:ind w:left="0" w:right="0" w:hanging="0"/>
              <w:jc w:val="left"/>
              <w:rPr/>
            </w:pPr>
            <w:r>
              <w:rPr/>
              <w:t>​</w:t>
            </w:r>
          </w:p>
        </w:tc>
        <w:tc>
          <w:tcPr>
            <w:tcW w:w="1076" w:type="dxa"/>
            <w:tcBorders/>
            <w:vAlign w:val="center"/>
          </w:tcPr>
          <w:p>
            <w:pPr>
              <w:pStyle w:val="TableContents"/>
              <w:bidi w:val="0"/>
              <w:spacing w:lineRule="auto" w:line="285" w:before="0" w:after="0"/>
              <w:ind w:left="0" w:right="0" w:hanging="0"/>
              <w:jc w:val="right"/>
              <w:rPr/>
            </w:pPr>
            <w:r>
              <w:rPr/>
              <w:t>​</w:t>
            </w:r>
          </w:p>
        </w:tc>
      </w:tr>
      <w:tr>
        <w:trPr/>
        <w:tc>
          <w:tcPr>
            <w:tcW w:w="505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(Loss) gain from change in fair value of warrant liabilities</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7" w:type="dxa"/>
            <w:tcBorders/>
            <w:shd w:fill="CCEEFF" w:val="clear"/>
            <w:vAlign w:val="center"/>
          </w:tcPr>
          <w:p>
            <w:pPr>
              <w:pStyle w:val="TableContents"/>
              <w:bidi w:val="0"/>
              <w:spacing w:lineRule="auto" w:line="285" w:before="0" w:after="0"/>
              <w:ind w:left="0" w:right="0" w:hanging="0"/>
              <w:jc w:val="left"/>
              <w:rPr/>
            </w:pPr>
            <w:r>
              <w:rPr/>
              <w:t>​</w:t>
            </w:r>
          </w:p>
        </w:tc>
        <w:tc>
          <w:tcPr>
            <w:tcW w:w="958"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(4)</w:t>
            </w:r>
          </w:p>
        </w:tc>
        <w:tc>
          <w:tcPr>
            <w:tcW w:w="112" w:type="dxa"/>
            <w:tcBorders/>
            <w:shd w:fill="CCEEFF" w:val="clear"/>
            <w:vAlign w:val="center"/>
          </w:tcPr>
          <w:p>
            <w:pPr>
              <w:pStyle w:val="TableContents"/>
              <w:bidi w:val="0"/>
              <w:spacing w:lineRule="auto" w:line="285" w:before="0" w:after="0"/>
              <w:ind w:left="0" w:right="0" w:hanging="0"/>
              <w:jc w:val="left"/>
              <w:rPr/>
            </w:pPr>
            <w:r>
              <w:rPr/>
              <w:t>​</w:t>
            </w:r>
          </w:p>
        </w:tc>
        <w:tc>
          <w:tcPr>
            <w:tcW w:w="217" w:type="dxa"/>
            <w:tcBorders/>
            <w:shd w:fill="CCEEFF" w:val="clear"/>
            <w:vAlign w:val="center"/>
          </w:tcPr>
          <w:p>
            <w:pPr>
              <w:pStyle w:val="TableContents"/>
              <w:bidi w:val="0"/>
              <w:spacing w:lineRule="auto" w:line="285" w:before="0" w:after="0"/>
              <w:ind w:left="0" w:right="0" w:hanging="0"/>
              <w:jc w:val="left"/>
              <w:rPr/>
            </w:pPr>
            <w:r>
              <w:rPr/>
              <w:t>​</w:t>
            </w:r>
          </w:p>
        </w:tc>
        <w:tc>
          <w:tcPr>
            <w:tcW w:w="1076"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160</w:t>
            </w:r>
          </w:p>
        </w:tc>
      </w:tr>
      <w:tr>
        <w:trPr/>
        <w:tc>
          <w:tcPr>
            <w:tcW w:w="5056"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Interest income, net</w:t>
            </w:r>
          </w:p>
        </w:tc>
        <w:tc>
          <w:tcPr>
            <w:tcW w:w="346"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217"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958"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73</w:t>
            </w:r>
          </w:p>
        </w:tc>
        <w:tc>
          <w:tcPr>
            <w:tcW w:w="112"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217"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1076"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146</w:t>
            </w:r>
          </w:p>
        </w:tc>
      </w:tr>
      <w:tr>
        <w:trPr/>
        <w:tc>
          <w:tcPr>
            <w:tcW w:w="505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Total other income</w:t>
            </w:r>
          </w:p>
        </w:tc>
        <w:tc>
          <w:tcPr>
            <w:tcW w:w="34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217"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958"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69</w:t>
            </w:r>
          </w:p>
        </w:tc>
        <w:tc>
          <w:tcPr>
            <w:tcW w:w="112"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217"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107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306</w:t>
            </w:r>
          </w:p>
        </w:tc>
      </w:tr>
      <w:tr>
        <w:trPr/>
        <w:tc>
          <w:tcPr>
            <w:tcW w:w="5056"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Loss before income taxes</w:t>
            </w:r>
          </w:p>
        </w:tc>
        <w:tc>
          <w:tcPr>
            <w:tcW w:w="346" w:type="dxa"/>
            <w:tcBorders/>
            <w:vAlign w:val="center"/>
          </w:tcPr>
          <w:p>
            <w:pPr>
              <w:pStyle w:val="TableContents"/>
              <w:bidi w:val="0"/>
              <w:spacing w:lineRule="auto" w:line="285" w:before="0" w:after="0"/>
              <w:ind w:left="0" w:right="0" w:hanging="0"/>
              <w:jc w:val="left"/>
              <w:rPr/>
            </w:pPr>
            <w:r>
              <w:rPr/>
              <w:t>​</w:t>
            </w:r>
          </w:p>
        </w:tc>
        <w:tc>
          <w:tcPr>
            <w:tcW w:w="217" w:type="dxa"/>
            <w:tcBorders/>
            <w:vAlign w:val="center"/>
          </w:tcPr>
          <w:p>
            <w:pPr>
              <w:pStyle w:val="TableContents"/>
              <w:bidi w:val="0"/>
              <w:spacing w:lineRule="auto" w:line="285" w:before="0" w:after="0"/>
              <w:ind w:left="0" w:right="0" w:hanging="0"/>
              <w:jc w:val="left"/>
              <w:rPr/>
            </w:pPr>
            <w:r>
              <w:rPr/>
              <w:t>​</w:t>
            </w:r>
          </w:p>
        </w:tc>
        <w:tc>
          <w:tcPr>
            <w:tcW w:w="958"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(5,316)</w:t>
            </w:r>
          </w:p>
        </w:tc>
        <w:tc>
          <w:tcPr>
            <w:tcW w:w="112" w:type="dxa"/>
            <w:tcBorders/>
            <w:vAlign w:val="center"/>
          </w:tcPr>
          <w:p>
            <w:pPr>
              <w:pStyle w:val="TableContents"/>
              <w:bidi w:val="0"/>
              <w:spacing w:lineRule="auto" w:line="285" w:before="0" w:after="0"/>
              <w:ind w:left="0" w:right="0" w:hanging="0"/>
              <w:jc w:val="left"/>
              <w:rPr/>
            </w:pPr>
            <w:r>
              <w:rPr/>
              <w:t>​</w:t>
            </w:r>
          </w:p>
        </w:tc>
        <w:tc>
          <w:tcPr>
            <w:tcW w:w="217" w:type="dxa"/>
            <w:tcBorders/>
            <w:vAlign w:val="center"/>
          </w:tcPr>
          <w:p>
            <w:pPr>
              <w:pStyle w:val="TableContents"/>
              <w:bidi w:val="0"/>
              <w:spacing w:lineRule="auto" w:line="285" w:before="0" w:after="0"/>
              <w:ind w:left="0" w:right="0" w:hanging="0"/>
              <w:jc w:val="left"/>
              <w:rPr/>
            </w:pPr>
            <w:r>
              <w:rPr/>
              <w:t>​</w:t>
            </w:r>
          </w:p>
        </w:tc>
        <w:tc>
          <w:tcPr>
            <w:tcW w:w="1076"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(3,995)</w:t>
            </w:r>
          </w:p>
        </w:tc>
      </w:tr>
      <w:tr>
        <w:trPr/>
        <w:tc>
          <w:tcPr>
            <w:tcW w:w="505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Provision for income taxes</w:t>
            </w:r>
          </w:p>
        </w:tc>
        <w:tc>
          <w:tcPr>
            <w:tcW w:w="34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217"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958"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pPr>
            <w:r>
              <w:rPr/>
              <w:t>—</w:t>
            </w:r>
          </w:p>
        </w:tc>
        <w:tc>
          <w:tcPr>
            <w:tcW w:w="112"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217"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107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pPr>
            <w:r>
              <w:rPr/>
              <w:t>—</w:t>
            </w:r>
          </w:p>
        </w:tc>
      </w:tr>
      <w:tr>
        <w:trPr/>
        <w:tc>
          <w:tcPr>
            <w:tcW w:w="5056"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Net loss</w:t>
            </w:r>
          </w:p>
        </w:tc>
        <w:tc>
          <w:tcPr>
            <w:tcW w:w="346"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217"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58"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(5,316)</w:t>
            </w:r>
          </w:p>
        </w:tc>
        <w:tc>
          <w:tcPr>
            <w:tcW w:w="112"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217"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76"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(3,995)</w:t>
            </w:r>
          </w:p>
        </w:tc>
      </w:tr>
      <w:tr>
        <w:trPr/>
        <w:tc>
          <w:tcPr>
            <w:tcW w:w="5056"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 xml:space="preserve">Loss per share of common stock, basic and diluted </w:t>
            </w:r>
          </w:p>
        </w:tc>
        <w:tc>
          <w:tcPr>
            <w:tcW w:w="346"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217"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58"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(0.90)</w:t>
            </w:r>
          </w:p>
        </w:tc>
        <w:tc>
          <w:tcPr>
            <w:tcW w:w="112"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217"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76"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(2.87)</w:t>
            </w:r>
          </w:p>
        </w:tc>
      </w:tr>
      <w:tr>
        <w:trPr/>
        <w:tc>
          <w:tcPr>
            <w:tcW w:w="5056"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Weighted average shares of common stock, basic and diluted</w:t>
            </w:r>
          </w:p>
        </w:tc>
        <w:tc>
          <w:tcPr>
            <w:tcW w:w="346"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217"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pPr>
            <w:r>
              <w:rPr/>
              <w:t> </w:t>
            </w:r>
          </w:p>
        </w:tc>
        <w:tc>
          <w:tcPr>
            <w:tcW w:w="958"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5,931,875</w:t>
            </w:r>
          </w:p>
        </w:tc>
        <w:tc>
          <w:tcPr>
            <w:tcW w:w="112"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217"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pPr>
            <w:r>
              <w:rPr/>
              <w:t> </w:t>
            </w:r>
          </w:p>
        </w:tc>
        <w:tc>
          <w:tcPr>
            <w:tcW w:w="1076" w:type="dxa"/>
            <w:tcBorders>
              <w:bottom w:val="double" w:sz="6" w:space="0" w:color="000000"/>
            </w:tcBorders>
            <w:tcMar>
              <w:bottom w:w="28" w:type="dxa"/>
            </w:tcMar>
            <w:vAlign w:val="center"/>
          </w:tcPr>
          <w:p>
            <w:pPr>
              <w:pStyle w:val="TableContents"/>
              <w:bidi w:val="0"/>
              <w:spacing w:lineRule="auto" w:line="285" w:before="0" w:after="0"/>
              <w:ind w:left="0" w:right="70" w:hanging="0"/>
              <w:jc w:val="right"/>
              <w:rPr>
                <w:rFonts w:ascii="Times New Roman;Times;serif" w:hAnsi="Times New Roman;Times;serif"/>
                <w:sz w:val="20"/>
              </w:rPr>
            </w:pPr>
            <w:r>
              <w:rPr>
                <w:rFonts w:ascii="Times New Roman;Times;serif" w:hAnsi="Times New Roman;Times;serif"/>
                <w:sz w:val="20"/>
              </w:rPr>
              <w:t>1,389,753</w:t>
            </w:r>
          </w:p>
        </w:tc>
      </w:tr>
    </w:tbl>
    <w:p>
      <w:pPr>
        <w:pStyle w:val="TextBody"/>
        <w:bidi w:val="0"/>
        <w:spacing w:lineRule="auto" w:line="285" w:before="160" w:after="160"/>
        <w:ind w:left="0" w:right="0" w:hanging="0"/>
        <w:jc w:val="both"/>
        <w:rPr>
          <w:rFonts w:ascii="Times New Roman;Times;serif" w:hAnsi="Times New Roman;Times;serif"/>
          <w:i/>
          <w:sz w:val="20"/>
        </w:rPr>
      </w:pPr>
      <w:r>
        <w:rPr>
          <w:rFonts w:ascii="Times New Roman;Times;serif" w:hAnsi="Times New Roman;Times;serif"/>
          <w:i/>
          <w:sz w:val="20"/>
        </w:rPr>
        <w:t>Total operating expenses and loss from operations</w:t>
      </w:r>
    </w:p>
    <w:p>
      <w:pPr>
        <w:pStyle w:val="TextBody"/>
        <w:bidi w:val="0"/>
        <w:spacing w:lineRule="auto" w:line="285" w:before="160" w:after="160"/>
        <w:ind w:left="0" w:right="0" w:hanging="0"/>
        <w:jc w:val="both"/>
        <w:rPr>
          <w:rFonts w:ascii="Times New Roman;Times;serif" w:hAnsi="Times New Roman;Times;serif"/>
          <w:sz w:val="20"/>
        </w:rPr>
      </w:pPr>
      <w:r>
        <w:rPr>
          <w:rFonts w:ascii="Times New Roman;Times;serif" w:hAnsi="Times New Roman;Times;serif"/>
          <w:sz w:val="20"/>
        </w:rPr>
        <w:t xml:space="preserve">Our total operating expenses and loss from operations for the three months ended June 30, 2026 were $5.4 million, an increase of approximately $1.1 million, or 25.2%, compared to the corresponding period in 2025. This increase was mainly attributable to higher R&amp;D </w:t>
      </w:r>
      <w:r>
        <w:rPr>
          <w:rFonts w:ascii="Times New Roman;Times;serif" w:hAnsi="Times New Roman;Times;serif"/>
          <w:color w:val="212529"/>
          <w:sz w:val="20"/>
          <w:shd w:fill="FFFFFF" w:val="clear"/>
        </w:rPr>
        <w:t xml:space="preserve">expenses </w:t>
      </w:r>
      <w:r>
        <w:rPr>
          <w:rFonts w:ascii="Times New Roman;Times;serif" w:hAnsi="Times New Roman;Times;serif"/>
          <w:sz w:val="20"/>
        </w:rPr>
        <w:t>for the three months ended June 30, 2026, partially offset by lower general and administrative</w:t>
      </w:r>
      <w:r>
        <w:rPr>
          <w:rFonts w:ascii="Times New Roman;Times;serif" w:hAnsi="Times New Roman;Times;serif"/>
          <w:color w:val="212529"/>
          <w:sz w:val="20"/>
          <w:shd w:fill="FFFFFF" w:val="clear"/>
        </w:rPr>
        <w:t xml:space="preserve"> (“G&amp;A”)</w:t>
      </w:r>
      <w:r>
        <w:rPr>
          <w:rFonts w:ascii="Times New Roman;Times;serif" w:hAnsi="Times New Roman;Times;serif"/>
          <w:sz w:val="20"/>
        </w:rPr>
        <w:t xml:space="preserve"> expenses. Our R&amp;D expenses were $3.5 million for the three months ended June 30, 2026, an increase of $1.2 million, or 49.9%, compared to the corresponding period in 2025. </w:t>
      </w:r>
      <w:r>
        <w:rPr>
          <w:rFonts w:ascii="Times New Roman;Times;serif" w:hAnsi="Times New Roman;Times;serif"/>
          <w:color w:val="212529"/>
          <w:sz w:val="20"/>
          <w:shd w:fill="FFFFFF" w:val="clear"/>
        </w:rPr>
        <w:t xml:space="preserve">Our G&amp;A expenses were $1.9 million for the three months ended </w:t>
      </w:r>
      <w:r>
        <w:rPr>
          <w:rFonts w:ascii="Times New Roman;Times;serif" w:hAnsi="Times New Roman;Times;serif"/>
          <w:sz w:val="20"/>
        </w:rPr>
        <w:t>June 30, 2026</w:t>
      </w:r>
      <w:r>
        <w:rPr>
          <w:rFonts w:ascii="Times New Roman;Times;serif" w:hAnsi="Times New Roman;Times;serif"/>
          <w:color w:val="212529"/>
          <w:sz w:val="20"/>
          <w:shd w:fill="FFFFFF" w:val="clear"/>
        </w:rPr>
        <w:t xml:space="preserve">, a decrease of approximately $0.1 million, or 3.7%, compared to the corresponding period in 2025. </w:t>
      </w:r>
    </w:p>
    <w:p>
      <w:pPr>
        <w:pStyle w:val="TextBody"/>
        <w:bidi w:val="0"/>
        <w:spacing w:lineRule="auto" w:line="285" w:before="160" w:after="160"/>
        <w:ind w:left="0" w:right="0" w:hanging="0"/>
        <w:jc w:val="both"/>
        <w:rPr>
          <w:rFonts w:ascii="Times New Roman;Times;serif" w:hAnsi="Times New Roman;Times;serif"/>
          <w:sz w:val="20"/>
        </w:rPr>
      </w:pPr>
      <w:r>
        <w:rPr>
          <w:rFonts w:ascii="Times New Roman;Times;serif" w:hAnsi="Times New Roman;Times;serif"/>
          <w:sz w:val="20"/>
        </w:rPr>
        <w:t>The following table summarizes our R&amp;D expenses for the three months ended June 30, 2026 and 2025 (in thousands):</w:t>
      </w:r>
    </w:p>
    <w:tbl>
      <w:tblPr>
        <w:tblW w:w="6091" w:type="dxa"/>
        <w:jc w:val="left"/>
        <w:tblInd w:w="0" w:type="dxa"/>
        <w:tblLayout w:type="fixed"/>
        <w:tblCellMar>
          <w:top w:w="0" w:type="dxa"/>
          <w:left w:w="0" w:type="dxa"/>
          <w:bottom w:w="0" w:type="dxa"/>
          <w:right w:w="0" w:type="dxa"/>
        </w:tblCellMar>
      </w:tblPr>
      <w:tblGrid>
        <w:gridCol w:w="3166"/>
        <w:gridCol w:w="346"/>
        <w:gridCol w:w="304"/>
        <w:gridCol w:w="824"/>
        <w:gridCol w:w="157"/>
        <w:gridCol w:w="304"/>
        <w:gridCol w:w="990"/>
      </w:tblGrid>
      <w:tr>
        <w:trPr/>
        <w:tc>
          <w:tcPr>
            <w:tcW w:w="31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7">
                      <wp:simplePos x="0" y="0"/>
                      <wp:positionH relativeFrom="character">
                        <wp:align>left</wp:align>
                      </wp:positionH>
                      <wp:positionV relativeFrom="line">
                        <wp:posOffset>635</wp:posOffset>
                      </wp:positionV>
                      <wp:extent cx="2010410" cy="175260"/>
                      <wp:effectExtent l="0" t="0" r="0" b="0"/>
                      <wp:wrapNone/>
                      <wp:docPr id="176" name="Frame175"/>
                      <a:graphic xmlns:a="http://schemas.openxmlformats.org/drawingml/2006/main">
                        <a:graphicData uri="http://schemas.microsoft.com/office/word/2010/wordprocessingShape">
                          <wps:wsp>
                            <wps:cNvSpPr txBox="1"/>
                            <wps:spPr>
                              <a:xfrm>
                                <a:off x="0" y="0"/>
                                <a:ext cx="20104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8">
                      <wp:simplePos x="0" y="0"/>
                      <wp:positionH relativeFrom="character">
                        <wp:align>left</wp:align>
                      </wp:positionH>
                      <wp:positionV relativeFrom="line">
                        <wp:posOffset>635</wp:posOffset>
                      </wp:positionV>
                      <wp:extent cx="219710" cy="175260"/>
                      <wp:effectExtent l="0" t="0" r="0" b="0"/>
                      <wp:wrapNone/>
                      <wp:docPr id="177" name="Frame17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0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9">
                      <wp:simplePos x="0" y="0"/>
                      <wp:positionH relativeFrom="character">
                        <wp:align>left</wp:align>
                      </wp:positionH>
                      <wp:positionV relativeFrom="line">
                        <wp:posOffset>635</wp:posOffset>
                      </wp:positionV>
                      <wp:extent cx="193040" cy="175260"/>
                      <wp:effectExtent l="0" t="0" r="0" b="0"/>
                      <wp:wrapNone/>
                      <wp:docPr id="178" name="Frame177"/>
                      <a:graphic xmlns:a="http://schemas.openxmlformats.org/drawingml/2006/main">
                        <a:graphicData uri="http://schemas.microsoft.com/office/word/2010/wordprocessingShape">
                          <wps:wsp>
                            <wps:cNvSpPr txBox="1"/>
                            <wps:spPr>
                              <a:xfrm>
                                <a:off x="0" y="0"/>
                                <a:ext cx="19304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8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0">
                      <wp:simplePos x="0" y="0"/>
                      <wp:positionH relativeFrom="character">
                        <wp:align>left</wp:align>
                      </wp:positionH>
                      <wp:positionV relativeFrom="line">
                        <wp:posOffset>635</wp:posOffset>
                      </wp:positionV>
                      <wp:extent cx="523240" cy="175260"/>
                      <wp:effectExtent l="0" t="0" r="0" b="0"/>
                      <wp:wrapNone/>
                      <wp:docPr id="179" name="Frame178"/>
                      <a:graphic xmlns:a="http://schemas.openxmlformats.org/drawingml/2006/main">
                        <a:graphicData uri="http://schemas.microsoft.com/office/word/2010/wordprocessingShape">
                          <wps:wsp>
                            <wps:cNvSpPr txBox="1"/>
                            <wps:spPr>
                              <a:xfrm>
                                <a:off x="0" y="0"/>
                                <a:ext cx="52324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5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1">
                      <wp:simplePos x="0" y="0"/>
                      <wp:positionH relativeFrom="character">
                        <wp:align>left</wp:align>
                      </wp:positionH>
                      <wp:positionV relativeFrom="line">
                        <wp:posOffset>635</wp:posOffset>
                      </wp:positionV>
                      <wp:extent cx="99695" cy="175260"/>
                      <wp:effectExtent l="0" t="0" r="0" b="0"/>
                      <wp:wrapNone/>
                      <wp:docPr id="180" name="Frame179"/>
                      <a:graphic xmlns:a="http://schemas.openxmlformats.org/drawingml/2006/main">
                        <a:graphicData uri="http://schemas.microsoft.com/office/word/2010/wordprocessingShape">
                          <wps:wsp>
                            <wps:cNvSpPr txBox="1"/>
                            <wps:spPr>
                              <a:xfrm>
                                <a:off x="0" y="0"/>
                                <a:ext cx="9969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0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2">
                      <wp:simplePos x="0" y="0"/>
                      <wp:positionH relativeFrom="character">
                        <wp:align>left</wp:align>
                      </wp:positionH>
                      <wp:positionV relativeFrom="line">
                        <wp:posOffset>635</wp:posOffset>
                      </wp:positionV>
                      <wp:extent cx="193040" cy="175260"/>
                      <wp:effectExtent l="0" t="0" r="0" b="0"/>
                      <wp:wrapNone/>
                      <wp:docPr id="181" name="Frame180"/>
                      <a:graphic xmlns:a="http://schemas.openxmlformats.org/drawingml/2006/main">
                        <a:graphicData uri="http://schemas.microsoft.com/office/word/2010/wordprocessingShape">
                          <wps:wsp>
                            <wps:cNvSpPr txBox="1"/>
                            <wps:spPr>
                              <a:xfrm>
                                <a:off x="0" y="0"/>
                                <a:ext cx="19304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99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3">
                      <wp:simplePos x="0" y="0"/>
                      <wp:positionH relativeFrom="character">
                        <wp:align>left</wp:align>
                      </wp:positionH>
                      <wp:positionV relativeFrom="line">
                        <wp:posOffset>635</wp:posOffset>
                      </wp:positionV>
                      <wp:extent cx="628650" cy="175260"/>
                      <wp:effectExtent l="0" t="0" r="0" b="0"/>
                      <wp:wrapNone/>
                      <wp:docPr id="182" name="Frame181"/>
                      <a:graphic xmlns:a="http://schemas.openxmlformats.org/drawingml/2006/main">
                        <a:graphicData uri="http://schemas.microsoft.com/office/word/2010/wordprocessingShape">
                          <wps:wsp>
                            <wps:cNvSpPr txBox="1"/>
                            <wps:spPr>
                              <a:xfrm>
                                <a:off x="0" y="0"/>
                                <a:ext cx="62865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r>
      <w:tr>
        <w:trPr/>
        <w:tc>
          <w:tcPr>
            <w:tcW w:w="3166"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2579" w:type="dxa"/>
            <w:gridSpan w:val="5"/>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Three Months Ended June 30,</w:t>
            </w:r>
          </w:p>
        </w:tc>
      </w:tr>
      <w:tr>
        <w:trPr/>
        <w:tc>
          <w:tcPr>
            <w:tcW w:w="3166"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346"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  ​ ​ ​</w:t>
            </w:r>
          </w:p>
        </w:tc>
        <w:tc>
          <w:tcPr>
            <w:tcW w:w="1128"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2026</w:t>
            </w:r>
          </w:p>
        </w:tc>
        <w:tc>
          <w:tcPr>
            <w:tcW w:w="157"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1294"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2025</w:t>
            </w:r>
          </w:p>
        </w:tc>
      </w:tr>
      <w:tr>
        <w:trPr/>
        <w:tc>
          <w:tcPr>
            <w:tcW w:w="316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Direct costs</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304" w:type="dxa"/>
            <w:tcBorders/>
            <w:shd w:fill="CCEEFF" w:val="clear"/>
            <w:vAlign w:val="center"/>
          </w:tcPr>
          <w:p>
            <w:pPr>
              <w:pStyle w:val="TableContents"/>
              <w:bidi w:val="0"/>
              <w:spacing w:lineRule="auto" w:line="285" w:before="0" w:after="0"/>
              <w:ind w:left="0" w:right="0" w:hanging="0"/>
              <w:jc w:val="left"/>
              <w:rPr/>
            </w:pPr>
            <w:r>
              <w:rPr/>
              <w:t>​</w:t>
            </w:r>
          </w:p>
        </w:tc>
        <w:tc>
          <w:tcPr>
            <w:tcW w:w="824" w:type="dxa"/>
            <w:tcBorders/>
            <w:shd w:fill="CCEEFF" w:val="clear"/>
            <w:vAlign w:val="center"/>
          </w:tcPr>
          <w:p>
            <w:pPr>
              <w:pStyle w:val="TableContents"/>
              <w:bidi w:val="0"/>
              <w:spacing w:lineRule="auto" w:line="285" w:before="0" w:after="0"/>
              <w:ind w:left="0" w:right="0" w:hanging="0"/>
              <w:jc w:val="left"/>
              <w:rPr/>
            </w:pPr>
            <w:r>
              <w:rPr/>
              <w:t>​</w:t>
            </w:r>
          </w:p>
        </w:tc>
        <w:tc>
          <w:tcPr>
            <w:tcW w:w="157" w:type="dxa"/>
            <w:tcBorders/>
            <w:shd w:fill="CCEEFF" w:val="clear"/>
            <w:vAlign w:val="center"/>
          </w:tcPr>
          <w:p>
            <w:pPr>
              <w:pStyle w:val="TableContents"/>
              <w:bidi w:val="0"/>
              <w:spacing w:lineRule="auto" w:line="285" w:before="0" w:after="0"/>
              <w:ind w:left="0" w:right="0" w:hanging="0"/>
              <w:jc w:val="left"/>
              <w:rPr/>
            </w:pPr>
            <w:r>
              <w:rPr/>
              <w:t>​</w:t>
            </w:r>
          </w:p>
        </w:tc>
        <w:tc>
          <w:tcPr>
            <w:tcW w:w="304" w:type="dxa"/>
            <w:tcBorders/>
            <w:shd w:fill="CCEEFF" w:val="clear"/>
            <w:vAlign w:val="center"/>
          </w:tcPr>
          <w:p>
            <w:pPr>
              <w:pStyle w:val="TableContents"/>
              <w:bidi w:val="0"/>
              <w:spacing w:lineRule="auto" w:line="285" w:before="0" w:after="0"/>
              <w:ind w:left="0" w:right="0" w:hanging="0"/>
              <w:jc w:val="left"/>
              <w:rPr/>
            </w:pPr>
            <w:r>
              <w:rPr/>
              <w:t>​</w:t>
            </w:r>
          </w:p>
        </w:tc>
        <w:tc>
          <w:tcPr>
            <w:tcW w:w="990" w:type="dxa"/>
            <w:tcBorders/>
            <w:shd w:fill="CCEEFF" w:val="clear"/>
            <w:vAlign w:val="center"/>
          </w:tcPr>
          <w:p>
            <w:pPr>
              <w:pStyle w:val="TableContents"/>
              <w:bidi w:val="0"/>
              <w:spacing w:lineRule="auto" w:line="285" w:before="0" w:after="0"/>
              <w:ind w:left="0" w:right="0" w:hanging="0"/>
              <w:jc w:val="left"/>
              <w:rPr/>
            </w:pPr>
            <w:r>
              <w:rPr/>
              <w:t>​</w:t>
            </w:r>
          </w:p>
        </w:tc>
      </w:tr>
      <w:tr>
        <w:trPr/>
        <w:tc>
          <w:tcPr>
            <w:tcW w:w="3166"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Vanoglipel</w:t>
            </w:r>
          </w:p>
        </w:tc>
        <w:tc>
          <w:tcPr>
            <w:tcW w:w="346" w:type="dxa"/>
            <w:tcBorders/>
            <w:vAlign w:val="center"/>
          </w:tcPr>
          <w:p>
            <w:pPr>
              <w:pStyle w:val="TableContents"/>
              <w:bidi w:val="0"/>
              <w:spacing w:lineRule="auto" w:line="285" w:before="0" w:after="0"/>
              <w:ind w:left="0" w:right="0" w:hanging="0"/>
              <w:jc w:val="left"/>
              <w:rPr/>
            </w:pPr>
            <w:r>
              <w:rPr/>
              <w:t>​</w:t>
            </w:r>
          </w:p>
        </w:tc>
        <w:tc>
          <w:tcPr>
            <w:tcW w:w="304"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4"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235</w:t>
            </w:r>
          </w:p>
        </w:tc>
        <w:tc>
          <w:tcPr>
            <w:tcW w:w="157" w:type="dxa"/>
            <w:tcBorders/>
            <w:vAlign w:val="center"/>
          </w:tcPr>
          <w:p>
            <w:pPr>
              <w:pStyle w:val="TableContents"/>
              <w:bidi w:val="0"/>
              <w:spacing w:lineRule="auto" w:line="285" w:before="0" w:after="0"/>
              <w:ind w:left="0" w:right="0" w:hanging="0"/>
              <w:jc w:val="left"/>
              <w:rPr/>
            </w:pPr>
            <w:r>
              <w:rPr/>
              <w:t>​</w:t>
            </w:r>
          </w:p>
        </w:tc>
        <w:tc>
          <w:tcPr>
            <w:tcW w:w="304"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90"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277</w:t>
            </w:r>
          </w:p>
        </w:tc>
      </w:tr>
      <w:tr>
        <w:trPr/>
        <w:tc>
          <w:tcPr>
            <w:tcW w:w="316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DA-1726</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304" w:type="dxa"/>
            <w:tcBorders/>
            <w:shd w:fill="CCEEFF" w:val="clear"/>
            <w:vAlign w:val="center"/>
          </w:tcPr>
          <w:p>
            <w:pPr>
              <w:pStyle w:val="TableContents"/>
              <w:bidi w:val="0"/>
              <w:spacing w:lineRule="auto" w:line="285" w:before="0" w:after="0"/>
              <w:ind w:left="0" w:right="0" w:hanging="0"/>
              <w:jc w:val="left"/>
              <w:rPr/>
            </w:pPr>
            <w:r>
              <w:rPr/>
              <w:t>​</w:t>
            </w:r>
          </w:p>
        </w:tc>
        <w:tc>
          <w:tcPr>
            <w:tcW w:w="824"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2,717</w:t>
            </w:r>
          </w:p>
        </w:tc>
        <w:tc>
          <w:tcPr>
            <w:tcW w:w="157" w:type="dxa"/>
            <w:tcBorders/>
            <w:shd w:fill="CCEEFF" w:val="clear"/>
            <w:vAlign w:val="center"/>
          </w:tcPr>
          <w:p>
            <w:pPr>
              <w:pStyle w:val="TableContents"/>
              <w:bidi w:val="0"/>
              <w:spacing w:lineRule="auto" w:line="285" w:before="0" w:after="0"/>
              <w:ind w:left="0" w:right="0" w:hanging="0"/>
              <w:jc w:val="left"/>
              <w:rPr/>
            </w:pPr>
            <w:r>
              <w:rPr/>
              <w:t>​</w:t>
            </w:r>
          </w:p>
        </w:tc>
        <w:tc>
          <w:tcPr>
            <w:tcW w:w="304" w:type="dxa"/>
            <w:tcBorders/>
            <w:shd w:fill="CCEEFF" w:val="clear"/>
            <w:vAlign w:val="center"/>
          </w:tcPr>
          <w:p>
            <w:pPr>
              <w:pStyle w:val="TableContents"/>
              <w:bidi w:val="0"/>
              <w:spacing w:lineRule="auto" w:line="285" w:before="0" w:after="0"/>
              <w:ind w:left="0" w:right="0" w:hanging="0"/>
              <w:jc w:val="left"/>
              <w:rPr/>
            </w:pPr>
            <w:r>
              <w:rPr/>
              <w:t>​</w:t>
            </w:r>
          </w:p>
        </w:tc>
        <w:tc>
          <w:tcPr>
            <w:tcW w:w="990"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1,529</w:t>
            </w:r>
          </w:p>
        </w:tc>
      </w:tr>
      <w:tr>
        <w:trPr/>
        <w:tc>
          <w:tcPr>
            <w:tcW w:w="3166"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Other R&amp;D</w:t>
            </w:r>
          </w:p>
        </w:tc>
        <w:tc>
          <w:tcPr>
            <w:tcW w:w="346" w:type="dxa"/>
            <w:tcBorders/>
            <w:vAlign w:val="center"/>
          </w:tcPr>
          <w:p>
            <w:pPr>
              <w:pStyle w:val="TableContents"/>
              <w:bidi w:val="0"/>
              <w:spacing w:lineRule="auto" w:line="285" w:before="0" w:after="0"/>
              <w:ind w:left="0" w:right="0" w:hanging="0"/>
              <w:jc w:val="left"/>
              <w:rPr/>
            </w:pPr>
            <w:r>
              <w:rPr/>
              <w:t>​</w:t>
            </w:r>
          </w:p>
        </w:tc>
        <w:tc>
          <w:tcPr>
            <w:tcW w:w="304" w:type="dxa"/>
            <w:tcBorders/>
            <w:vAlign w:val="center"/>
          </w:tcPr>
          <w:p>
            <w:pPr>
              <w:pStyle w:val="TableContents"/>
              <w:bidi w:val="0"/>
              <w:spacing w:lineRule="auto" w:line="285" w:before="0" w:after="0"/>
              <w:ind w:left="0" w:right="0" w:hanging="0"/>
              <w:jc w:val="left"/>
              <w:rPr/>
            </w:pPr>
            <w:r>
              <w:rPr/>
              <w:t>​</w:t>
            </w:r>
          </w:p>
        </w:tc>
        <w:tc>
          <w:tcPr>
            <w:tcW w:w="824"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40</w:t>
            </w:r>
          </w:p>
        </w:tc>
        <w:tc>
          <w:tcPr>
            <w:tcW w:w="157" w:type="dxa"/>
            <w:tcBorders/>
            <w:vAlign w:val="center"/>
          </w:tcPr>
          <w:p>
            <w:pPr>
              <w:pStyle w:val="TableContents"/>
              <w:bidi w:val="0"/>
              <w:spacing w:lineRule="auto" w:line="285" w:before="0" w:after="0"/>
              <w:ind w:left="0" w:right="0" w:hanging="0"/>
              <w:jc w:val="left"/>
              <w:rPr/>
            </w:pPr>
            <w:r>
              <w:rPr/>
              <w:t>​</w:t>
            </w:r>
          </w:p>
        </w:tc>
        <w:tc>
          <w:tcPr>
            <w:tcW w:w="304" w:type="dxa"/>
            <w:tcBorders/>
            <w:vAlign w:val="center"/>
          </w:tcPr>
          <w:p>
            <w:pPr>
              <w:pStyle w:val="TableContents"/>
              <w:bidi w:val="0"/>
              <w:spacing w:lineRule="auto" w:line="285" w:before="0" w:after="0"/>
              <w:ind w:left="0" w:right="0" w:hanging="0"/>
              <w:jc w:val="left"/>
              <w:rPr/>
            </w:pPr>
            <w:r>
              <w:rPr/>
              <w:t>​</w:t>
            </w:r>
          </w:p>
        </w:tc>
        <w:tc>
          <w:tcPr>
            <w:tcW w:w="990"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30</w:t>
            </w:r>
          </w:p>
        </w:tc>
      </w:tr>
      <w:tr>
        <w:trPr/>
        <w:tc>
          <w:tcPr>
            <w:tcW w:w="316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Indirect costs</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304" w:type="dxa"/>
            <w:tcBorders/>
            <w:shd w:fill="CCEEFF" w:val="clear"/>
            <w:vAlign w:val="center"/>
          </w:tcPr>
          <w:p>
            <w:pPr>
              <w:pStyle w:val="TableContents"/>
              <w:bidi w:val="0"/>
              <w:spacing w:lineRule="auto" w:line="285" w:before="0" w:after="0"/>
              <w:ind w:left="0" w:right="0" w:hanging="0"/>
              <w:jc w:val="left"/>
              <w:rPr/>
            </w:pPr>
            <w:r>
              <w:rPr/>
              <w:t>​</w:t>
            </w:r>
          </w:p>
        </w:tc>
        <w:tc>
          <w:tcPr>
            <w:tcW w:w="824" w:type="dxa"/>
            <w:tcBorders/>
            <w:shd w:fill="CCEEFF" w:val="clear"/>
            <w:vAlign w:val="center"/>
          </w:tcPr>
          <w:p>
            <w:pPr>
              <w:pStyle w:val="TableContents"/>
              <w:bidi w:val="0"/>
              <w:spacing w:lineRule="auto" w:line="285" w:before="0" w:after="0"/>
              <w:ind w:left="0" w:right="0" w:hanging="0"/>
              <w:jc w:val="left"/>
              <w:rPr/>
            </w:pPr>
            <w:r>
              <w:rPr/>
              <w:t>​</w:t>
            </w:r>
          </w:p>
        </w:tc>
        <w:tc>
          <w:tcPr>
            <w:tcW w:w="157" w:type="dxa"/>
            <w:tcBorders/>
            <w:shd w:fill="CCEEFF" w:val="clear"/>
            <w:vAlign w:val="center"/>
          </w:tcPr>
          <w:p>
            <w:pPr>
              <w:pStyle w:val="TableContents"/>
              <w:bidi w:val="0"/>
              <w:spacing w:lineRule="auto" w:line="285" w:before="0" w:after="0"/>
              <w:ind w:left="0" w:right="0" w:hanging="0"/>
              <w:jc w:val="left"/>
              <w:rPr/>
            </w:pPr>
            <w:r>
              <w:rPr/>
              <w:t>​</w:t>
            </w:r>
          </w:p>
        </w:tc>
        <w:tc>
          <w:tcPr>
            <w:tcW w:w="304" w:type="dxa"/>
            <w:tcBorders/>
            <w:shd w:fill="CCEEFF" w:val="clear"/>
            <w:vAlign w:val="center"/>
          </w:tcPr>
          <w:p>
            <w:pPr>
              <w:pStyle w:val="TableContents"/>
              <w:bidi w:val="0"/>
              <w:spacing w:lineRule="auto" w:line="285" w:before="0" w:after="0"/>
              <w:ind w:left="0" w:right="0" w:hanging="0"/>
              <w:jc w:val="left"/>
              <w:rPr/>
            </w:pPr>
            <w:r>
              <w:rPr/>
              <w:t>​</w:t>
            </w:r>
          </w:p>
        </w:tc>
        <w:tc>
          <w:tcPr>
            <w:tcW w:w="990" w:type="dxa"/>
            <w:tcBorders/>
            <w:shd w:fill="CCEEFF" w:val="clear"/>
            <w:vAlign w:val="center"/>
          </w:tcPr>
          <w:p>
            <w:pPr>
              <w:pStyle w:val="TableContents"/>
              <w:bidi w:val="0"/>
              <w:spacing w:lineRule="auto" w:line="285" w:before="0" w:after="0"/>
              <w:ind w:left="0" w:right="0" w:hanging="0"/>
              <w:jc w:val="left"/>
              <w:rPr/>
            </w:pPr>
            <w:r>
              <w:rPr/>
              <w:t>​</w:t>
            </w:r>
          </w:p>
        </w:tc>
      </w:tr>
      <w:tr>
        <w:trPr/>
        <w:tc>
          <w:tcPr>
            <w:tcW w:w="3166"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Employee compensation and benefits</w:t>
            </w:r>
          </w:p>
        </w:tc>
        <w:tc>
          <w:tcPr>
            <w:tcW w:w="346" w:type="dxa"/>
            <w:tcBorders/>
            <w:vAlign w:val="center"/>
          </w:tcPr>
          <w:p>
            <w:pPr>
              <w:pStyle w:val="TableContents"/>
              <w:bidi w:val="0"/>
              <w:spacing w:lineRule="auto" w:line="285" w:before="0" w:after="0"/>
              <w:ind w:left="0" w:right="0" w:hanging="0"/>
              <w:jc w:val="left"/>
              <w:rPr/>
            </w:pPr>
            <w:r>
              <w:rPr/>
              <w:t>​</w:t>
            </w:r>
          </w:p>
        </w:tc>
        <w:tc>
          <w:tcPr>
            <w:tcW w:w="304" w:type="dxa"/>
            <w:tcBorders/>
            <w:vAlign w:val="center"/>
          </w:tcPr>
          <w:p>
            <w:pPr>
              <w:pStyle w:val="TableContents"/>
              <w:bidi w:val="0"/>
              <w:spacing w:lineRule="auto" w:line="285" w:before="0" w:after="0"/>
              <w:ind w:left="0" w:right="0" w:hanging="0"/>
              <w:jc w:val="left"/>
              <w:rPr/>
            </w:pPr>
            <w:r>
              <w:rPr/>
              <w:t>​</w:t>
            </w:r>
          </w:p>
        </w:tc>
        <w:tc>
          <w:tcPr>
            <w:tcW w:w="824"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439</w:t>
            </w:r>
          </w:p>
        </w:tc>
        <w:tc>
          <w:tcPr>
            <w:tcW w:w="157" w:type="dxa"/>
            <w:tcBorders/>
            <w:vAlign w:val="center"/>
          </w:tcPr>
          <w:p>
            <w:pPr>
              <w:pStyle w:val="TableContents"/>
              <w:bidi w:val="0"/>
              <w:spacing w:lineRule="auto" w:line="285" w:before="0" w:after="0"/>
              <w:ind w:left="0" w:right="0" w:hanging="0"/>
              <w:jc w:val="left"/>
              <w:rPr/>
            </w:pPr>
            <w:r>
              <w:rPr/>
              <w:t>​</w:t>
            </w:r>
          </w:p>
        </w:tc>
        <w:tc>
          <w:tcPr>
            <w:tcW w:w="304" w:type="dxa"/>
            <w:tcBorders/>
            <w:vAlign w:val="center"/>
          </w:tcPr>
          <w:p>
            <w:pPr>
              <w:pStyle w:val="TableContents"/>
              <w:bidi w:val="0"/>
              <w:spacing w:lineRule="auto" w:line="285" w:before="0" w:after="0"/>
              <w:ind w:left="0" w:right="0" w:hanging="0"/>
              <w:jc w:val="left"/>
              <w:rPr/>
            </w:pPr>
            <w:r>
              <w:rPr/>
              <w:t>​</w:t>
            </w:r>
          </w:p>
        </w:tc>
        <w:tc>
          <w:tcPr>
            <w:tcW w:w="990"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441</w:t>
            </w:r>
          </w:p>
        </w:tc>
      </w:tr>
      <w:tr>
        <w:trPr/>
        <w:tc>
          <w:tcPr>
            <w:tcW w:w="316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Consulting</w:t>
            </w:r>
          </w:p>
        </w:tc>
        <w:tc>
          <w:tcPr>
            <w:tcW w:w="34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304"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824"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47</w:t>
            </w:r>
          </w:p>
        </w:tc>
        <w:tc>
          <w:tcPr>
            <w:tcW w:w="157"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304"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990"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43</w:t>
            </w:r>
          </w:p>
        </w:tc>
      </w:tr>
      <w:tr>
        <w:trPr/>
        <w:tc>
          <w:tcPr>
            <w:tcW w:w="3166"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Total research and development</w:t>
            </w:r>
          </w:p>
        </w:tc>
        <w:tc>
          <w:tcPr>
            <w:tcW w:w="346"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304"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4"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3,478</w:t>
            </w:r>
          </w:p>
        </w:tc>
        <w:tc>
          <w:tcPr>
            <w:tcW w:w="157"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304"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90" w:type="dxa"/>
            <w:tcBorders>
              <w:bottom w:val="double" w:sz="6" w:space="0" w:color="000000"/>
            </w:tcBorders>
            <w:tcMar>
              <w:bottom w:w="28" w:type="dxa"/>
            </w:tcMar>
            <w:vAlign w:val="center"/>
          </w:tcPr>
          <w:p>
            <w:pPr>
              <w:pStyle w:val="TableContents"/>
              <w:bidi w:val="0"/>
              <w:spacing w:lineRule="auto" w:line="285" w:before="0" w:after="0"/>
              <w:ind w:left="0" w:right="70" w:hanging="0"/>
              <w:jc w:val="right"/>
              <w:rPr>
                <w:rFonts w:ascii="Times New Roman;Times;serif" w:hAnsi="Times New Roman;Times;serif"/>
                <w:sz w:val="20"/>
              </w:rPr>
            </w:pPr>
            <w:r>
              <w:rPr>
                <w:rFonts w:ascii="Times New Roman;Times;serif" w:hAnsi="Times New Roman;Times;serif"/>
                <w:sz w:val="20"/>
              </w:rPr>
              <w:t>2,320</w:t>
            </w:r>
          </w:p>
        </w:tc>
      </w:tr>
    </w:tbl>
    <w:p>
      <w:pPr>
        <w:pStyle w:val="TextBody"/>
        <w:bidi w:val="0"/>
        <w:spacing w:lineRule="auto" w:line="285" w:before="160" w:after="160"/>
        <w:ind w:left="0" w:right="0" w:hanging="0"/>
        <w:jc w:val="both"/>
        <w:rPr>
          <w:rFonts w:ascii="Times New Roman;Times;serif" w:hAnsi="Times New Roman;Times;serif"/>
          <w:sz w:val="20"/>
        </w:rPr>
      </w:pPr>
      <w:r>
        <w:rPr>
          <w:rFonts w:ascii="Times New Roman;Times;serif" w:hAnsi="Times New Roman;Times;serif"/>
          <w:color w:val="212529"/>
          <w:sz w:val="20"/>
          <w:shd w:fill="FFFFFF" w:val="clear"/>
        </w:rPr>
        <w:t xml:space="preserve">The $1.2 million increase in R&amp;D expenses reflects increased R&amp;D activities related to the Phase 1 clinical trial for DA-1726 during the three months ended June 30, 2026 as compared to the corresponding period in 2025. Specifically, the increase in R&amp;D expenses was mainly attributable to higher direct R&amp;D expenses related to DA-1726 product development. Included in direct R&amp;D costs were expenses totaling $0.2 million and $1.3 million for the three months ended </w:t>
      </w:r>
      <w:r>
        <w:rPr>
          <w:rFonts w:ascii="Times New Roman;Times;serif" w:hAnsi="Times New Roman;Times;serif"/>
          <w:sz w:val="20"/>
        </w:rPr>
        <w:t>June 30, 2026</w:t>
      </w:r>
      <w:r>
        <w:rPr>
          <w:rFonts w:ascii="Times New Roman;Times;serif" w:hAnsi="Times New Roman;Times;serif"/>
          <w:color w:val="212529"/>
          <w:sz w:val="20"/>
          <w:shd w:fill="FFFFFF" w:val="clear"/>
        </w:rPr>
        <w:t xml:space="preserve"> and 2025, respectively, related to investigational drug manufacturing, non-clinical and preclinical costs incurred under the Shared Services Agreement with Dong-A ST (related party). </w:t>
      </w:r>
    </w:p>
    <w:p>
      <w:pPr>
        <w:pStyle w:val="TextBody"/>
        <w:bidi w:val="0"/>
        <w:spacing w:lineRule="auto" w:line="285" w:before="0" w:after="0"/>
        <w:ind w:left="0" w:right="0" w:hanging="0"/>
        <w:jc w:val="both"/>
        <w:rPr>
          <w:rFonts w:ascii="Times New Roman;Times;serif" w:hAnsi="Times New Roman;Times;serif"/>
          <w:sz w:val="20"/>
        </w:rPr>
      </w:pPr>
      <w:r>
        <w:rPr>
          <w:rFonts w:ascii="Times New Roman;Times;serif" w:hAnsi="Times New Roman;Times;serif"/>
          <w:color w:val="212529"/>
          <w:sz w:val="20"/>
          <w:shd w:fill="FFFFFF" w:val="clear"/>
        </w:rPr>
        <w:t xml:space="preserve">The approximately $0.1 million decrease in </w:t>
      </w:r>
      <w:r>
        <w:rPr>
          <w:rFonts w:ascii="Times New Roman;Times;serif" w:hAnsi="Times New Roman;Times;serif"/>
          <w:sz w:val="20"/>
        </w:rPr>
        <w:t>G&amp;A</w:t>
      </w:r>
      <w:r>
        <w:rPr>
          <w:rFonts w:ascii="Times New Roman;Times;serif" w:hAnsi="Times New Roman;Times;serif"/>
          <w:color w:val="212529"/>
          <w:sz w:val="20"/>
          <w:shd w:fill="FFFFFF" w:val="clear"/>
        </w:rPr>
        <w:t xml:space="preserve"> expenses was primarily attributable to lower legal and professional fees.</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20</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MetaVia Inc.</w:t>
      </w:r>
    </w:p>
    <w:p>
      <w:pPr>
        <w:pStyle w:val="TextBody"/>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Form 10-Q</w:t>
      </w:r>
    </w:p>
    <w:p>
      <w:pPr>
        <w:pStyle w:val="TextBody"/>
        <w:bidi w:val="0"/>
        <w:spacing w:lineRule="auto" w:line="285" w:before="0" w:after="0"/>
        <w:ind w:left="0" w:right="0" w:hanging="0"/>
        <w:jc w:val="center"/>
        <w:rPr/>
      </w:pPr>
      <w:r>
        <w:rPr/>
        <w:t>​</w:t>
      </w:r>
    </w:p>
    <w:p>
      <w:pPr>
        <w:pStyle w:val="TextBody"/>
        <w:bidi w:val="0"/>
        <w:spacing w:lineRule="auto" w:line="285" w:before="0" w:after="160"/>
        <w:ind w:left="0" w:right="0" w:hanging="0"/>
        <w:jc w:val="both"/>
        <w:rPr>
          <w:rFonts w:ascii="Times New Roman;Times;serif" w:hAnsi="Times New Roman;Times;serif"/>
          <w:i/>
          <w:sz w:val="20"/>
        </w:rPr>
      </w:pPr>
      <w:r>
        <w:rPr>
          <w:rFonts w:ascii="Times New Roman;Times;serif" w:hAnsi="Times New Roman;Times;serif"/>
          <w:i/>
          <w:sz w:val="20"/>
        </w:rPr>
        <w:t>Total other income</w:t>
      </w:r>
    </w:p>
    <w:p>
      <w:pPr>
        <w:pStyle w:val="TextBody"/>
        <w:bidi w:val="0"/>
        <w:spacing w:lineRule="auto" w:line="285" w:before="160" w:after="160"/>
        <w:ind w:left="0" w:right="0" w:hanging="0"/>
        <w:jc w:val="both"/>
        <w:rPr>
          <w:rFonts w:ascii="Times New Roman;Times;serif" w:hAnsi="Times New Roman;Times;serif"/>
          <w:sz w:val="20"/>
        </w:rPr>
      </w:pPr>
      <w:r>
        <w:rPr>
          <w:rFonts w:ascii="Times New Roman;Times;serif" w:hAnsi="Times New Roman;Times;serif"/>
          <w:sz w:val="20"/>
        </w:rPr>
        <w:t xml:space="preserve">Our total other income for the </w:t>
      </w:r>
      <w:r>
        <w:rPr>
          <w:rFonts w:ascii="Times New Roman;Times;serif" w:hAnsi="Times New Roman;Times;serif"/>
          <w:sz w:val="20"/>
          <w:shd w:fill="FFFFFF" w:val="clear"/>
        </w:rPr>
        <w:t xml:space="preserve">three months ended </w:t>
      </w:r>
      <w:r>
        <w:rPr>
          <w:rFonts w:ascii="Times New Roman;Times;serif" w:hAnsi="Times New Roman;Times;serif"/>
          <w:sz w:val="20"/>
        </w:rPr>
        <w:t>June 30, 2026</w:t>
      </w:r>
      <w:r>
        <w:rPr>
          <w:rFonts w:ascii="Times New Roman;Times;serif" w:hAnsi="Times New Roman;Times;serif"/>
          <w:sz w:val="20"/>
          <w:shd w:fill="FFFFFF" w:val="clear"/>
        </w:rPr>
        <w:t xml:space="preserve"> was $0.1 million, a decrease of $0.2 million, or 77.5%, compared to t</w:t>
      </w:r>
      <w:r>
        <w:rPr>
          <w:rFonts w:ascii="Times New Roman;Times;serif" w:hAnsi="Times New Roman;Times;serif"/>
          <w:sz w:val="20"/>
        </w:rPr>
        <w:t>he corresponding period in 2025. This decrease was attributable to an approximately $0.2 million negative impact from the change in fair value of warrant liabilities due to the impact of our common stock’s decline in stock price and approximately $0.1 million in lower interest income, net, due to lower balances of cash and cash equivalents and lower interest rates.</w:t>
      </w:r>
    </w:p>
    <w:p>
      <w:pPr>
        <w:pStyle w:val="TextBody"/>
        <w:bidi w:val="0"/>
        <w:spacing w:lineRule="auto" w:line="285" w:before="160" w:after="160"/>
        <w:ind w:left="0" w:right="0" w:hanging="0"/>
        <w:jc w:val="both"/>
        <w:rPr>
          <w:rFonts w:ascii="Times New Roman;Times;serif" w:hAnsi="Times New Roman;Times;serif"/>
          <w:i/>
          <w:sz w:val="20"/>
        </w:rPr>
      </w:pPr>
      <w:r>
        <w:rPr>
          <w:rFonts w:ascii="Times New Roman;Times;serif" w:hAnsi="Times New Roman;Times;serif"/>
          <w:i/>
          <w:sz w:val="20"/>
        </w:rPr>
        <w:t>Provision for income taxes</w:t>
      </w:r>
    </w:p>
    <w:p>
      <w:pPr>
        <w:pStyle w:val="TextBody"/>
        <w:bidi w:val="0"/>
        <w:spacing w:lineRule="auto" w:line="285" w:before="160" w:after="160"/>
        <w:ind w:left="0" w:right="0" w:hanging="0"/>
        <w:jc w:val="both"/>
        <w:rPr>
          <w:rFonts w:ascii="Times New Roman;Times;serif" w:hAnsi="Times New Roman;Times;serif"/>
          <w:sz w:val="20"/>
        </w:rPr>
      </w:pPr>
      <w:r>
        <w:rPr>
          <w:rFonts w:ascii="Times New Roman;Times;serif" w:hAnsi="Times New Roman;Times;serif"/>
          <w:sz w:val="20"/>
        </w:rPr>
        <w:t xml:space="preserve">Our provision for income taxes and effective tax rate for the </w:t>
      </w:r>
      <w:r>
        <w:rPr>
          <w:rFonts w:ascii="Times New Roman;Times;serif" w:hAnsi="Times New Roman;Times;serif"/>
          <w:sz w:val="20"/>
          <w:shd w:fill="FFFFFF" w:val="clear"/>
        </w:rPr>
        <w:t xml:space="preserve">three months ended </w:t>
      </w:r>
      <w:r>
        <w:rPr>
          <w:rFonts w:ascii="Times New Roman;Times;serif" w:hAnsi="Times New Roman;Times;serif"/>
          <w:sz w:val="20"/>
        </w:rPr>
        <w:t>June 30, 2026</w:t>
      </w:r>
      <w:r>
        <w:rPr>
          <w:rFonts w:ascii="Times New Roman;Times;serif" w:hAnsi="Times New Roman;Times;serif"/>
          <w:sz w:val="20"/>
          <w:shd w:fill="FFFFFF" w:val="clear"/>
        </w:rPr>
        <w:t xml:space="preserve"> and 2025</w:t>
      </w:r>
      <w:r>
        <w:rPr>
          <w:rFonts w:ascii="Times New Roman;Times;serif" w:hAnsi="Times New Roman;Times;serif"/>
          <w:sz w:val="20"/>
        </w:rPr>
        <w:t xml:space="preserve"> were zero as we have recorded a full valuation allowance for the income tax benefits attributable to our pre-tax losses.</w:t>
      </w:r>
    </w:p>
    <w:p>
      <w:pPr>
        <w:pStyle w:val="TextBody"/>
        <w:bidi w:val="0"/>
        <w:spacing w:lineRule="auto" w:line="285" w:before="160" w:after="160"/>
        <w:ind w:left="0" w:right="0" w:hanging="0"/>
        <w:jc w:val="both"/>
        <w:rPr>
          <w:rFonts w:ascii="Times New Roman;Times;serif" w:hAnsi="Times New Roman;Times;serif"/>
          <w:i/>
          <w:sz w:val="20"/>
        </w:rPr>
      </w:pPr>
      <w:r>
        <w:rPr>
          <w:rFonts w:ascii="Times New Roman;Times;serif" w:hAnsi="Times New Roman;Times;serif"/>
          <w:i/>
          <w:sz w:val="20"/>
        </w:rPr>
        <w:t>Net loss</w:t>
      </w:r>
    </w:p>
    <w:p>
      <w:pPr>
        <w:pStyle w:val="TextBody"/>
        <w:bidi w:val="0"/>
        <w:spacing w:lineRule="auto" w:line="285" w:before="160" w:after="160"/>
        <w:ind w:left="0" w:right="0" w:hanging="0"/>
        <w:jc w:val="both"/>
        <w:rPr>
          <w:rFonts w:ascii="Times New Roman;Times;serif" w:hAnsi="Times New Roman;Times;serif"/>
          <w:sz w:val="20"/>
        </w:rPr>
      </w:pPr>
      <w:r>
        <w:rPr>
          <w:rFonts w:ascii="Times New Roman;Times;serif" w:hAnsi="Times New Roman;Times;serif"/>
          <w:sz w:val="20"/>
        </w:rPr>
        <w:t xml:space="preserve">For the three months ended June 30, 2026, we had a net loss of $5.3 million, or $0.90 per share of basic and diluted common stock, compared to a net loss of $4.0 million, or $2.87 per share of basic and diluted common stock for </w:t>
      </w:r>
      <w:r>
        <w:rPr>
          <w:rFonts w:ascii="Times New Roman;Times;serif" w:hAnsi="Times New Roman;Times;serif"/>
          <w:sz w:val="20"/>
          <w:shd w:fill="FFFFFF" w:val="clear"/>
        </w:rPr>
        <w:t>t</w:t>
      </w:r>
      <w:r>
        <w:rPr>
          <w:rFonts w:ascii="Times New Roman;Times;serif" w:hAnsi="Times New Roman;Times;serif"/>
          <w:sz w:val="20"/>
        </w:rPr>
        <w:t>he corresponding period</w:t>
      </w:r>
      <w:r>
        <w:rPr>
          <w:rFonts w:ascii="Times New Roman;Times;serif" w:hAnsi="Times New Roman;Times;serif"/>
          <w:sz w:val="20"/>
          <w:shd w:fill="FFFFFF" w:val="clear"/>
        </w:rPr>
        <w:t xml:space="preserve"> in 2025</w:t>
      </w:r>
      <w:r>
        <w:rPr>
          <w:rFonts w:ascii="Times New Roman;Times;serif" w:hAnsi="Times New Roman;Times;serif"/>
          <w:sz w:val="20"/>
        </w:rPr>
        <w:t>, primarily due to the factors described above.</w:t>
      </w:r>
    </w:p>
    <w:p>
      <w:pPr>
        <w:pStyle w:val="TextBody"/>
        <w:bidi w:val="0"/>
        <w:spacing w:lineRule="auto" w:line="285" w:before="0" w:after="160"/>
        <w:ind w:left="0" w:right="0" w:hanging="0"/>
        <w:jc w:val="left"/>
        <w:rPr>
          <w:rFonts w:ascii="Times New Roman;Times;serif" w:hAnsi="Times New Roman;Times;serif"/>
          <w:b/>
          <w:sz w:val="20"/>
        </w:rPr>
      </w:pPr>
      <w:r>
        <w:rPr>
          <w:rFonts w:ascii="Times New Roman;Times;serif" w:hAnsi="Times New Roman;Times;serif"/>
          <w:b/>
          <w:sz w:val="20"/>
        </w:rPr>
        <w:t>Six months ended June 30, 2026 compared to six months ended June 30, 2025</w:t>
      </w:r>
    </w:p>
    <w:p>
      <w:pPr>
        <w:pStyle w:val="TextBody"/>
        <w:bidi w:val="0"/>
        <w:spacing w:lineRule="auto" w:line="285" w:before="0" w:after="160"/>
        <w:ind w:left="0" w:right="0" w:hanging="0"/>
        <w:jc w:val="both"/>
        <w:rPr>
          <w:rFonts w:ascii="Times New Roman;Times;serif" w:hAnsi="Times New Roman;Times;serif"/>
          <w:sz w:val="20"/>
        </w:rPr>
      </w:pPr>
      <w:r>
        <w:rPr>
          <w:rFonts w:ascii="Times New Roman;Times;serif" w:hAnsi="Times New Roman;Times;serif"/>
          <w:sz w:val="20"/>
        </w:rPr>
        <w:t>The following table summarizes our results of operations (in thousands, except share and per share amounts):</w:t>
      </w:r>
    </w:p>
    <w:tbl>
      <w:tblPr>
        <w:tblW w:w="7910" w:type="dxa"/>
        <w:jc w:val="left"/>
        <w:tblInd w:w="0" w:type="dxa"/>
        <w:tblLayout w:type="fixed"/>
        <w:tblCellMar>
          <w:top w:w="0" w:type="dxa"/>
          <w:left w:w="0" w:type="dxa"/>
          <w:bottom w:w="0" w:type="dxa"/>
          <w:right w:w="0" w:type="dxa"/>
        </w:tblCellMar>
      </w:tblPr>
      <w:tblGrid>
        <w:gridCol w:w="5056"/>
        <w:gridCol w:w="346"/>
        <w:gridCol w:w="211"/>
        <w:gridCol w:w="931"/>
        <w:gridCol w:w="109"/>
        <w:gridCol w:w="211"/>
        <w:gridCol w:w="1046"/>
      </w:tblGrid>
      <w:tr>
        <w:trPr/>
        <w:tc>
          <w:tcPr>
            <w:tcW w:w="50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4">
                      <wp:simplePos x="0" y="0"/>
                      <wp:positionH relativeFrom="character">
                        <wp:align>left</wp:align>
                      </wp:positionH>
                      <wp:positionV relativeFrom="line">
                        <wp:posOffset>635</wp:posOffset>
                      </wp:positionV>
                      <wp:extent cx="3210560" cy="175260"/>
                      <wp:effectExtent l="0" t="0" r="0" b="0"/>
                      <wp:wrapNone/>
                      <wp:docPr id="183" name="Frame182"/>
                      <a:graphic xmlns:a="http://schemas.openxmlformats.org/drawingml/2006/main">
                        <a:graphicData uri="http://schemas.microsoft.com/office/word/2010/wordprocessingShape">
                          <wps:wsp>
                            <wps:cNvSpPr txBox="1"/>
                            <wps:spPr>
                              <a:xfrm>
                                <a:off x="0" y="0"/>
                                <a:ext cx="321056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5">
                      <wp:simplePos x="0" y="0"/>
                      <wp:positionH relativeFrom="character">
                        <wp:align>left</wp:align>
                      </wp:positionH>
                      <wp:positionV relativeFrom="line">
                        <wp:posOffset>635</wp:posOffset>
                      </wp:positionV>
                      <wp:extent cx="219710" cy="175260"/>
                      <wp:effectExtent l="0" t="0" r="0" b="0"/>
                      <wp:wrapNone/>
                      <wp:docPr id="184" name="Frame18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6">
                      <wp:simplePos x="0" y="0"/>
                      <wp:positionH relativeFrom="character">
                        <wp:align>left</wp:align>
                      </wp:positionH>
                      <wp:positionV relativeFrom="line">
                        <wp:posOffset>635</wp:posOffset>
                      </wp:positionV>
                      <wp:extent cx="133985" cy="175260"/>
                      <wp:effectExtent l="0" t="0" r="0" b="0"/>
                      <wp:wrapNone/>
                      <wp:docPr id="185" name="Frame18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7">
                      <wp:simplePos x="0" y="0"/>
                      <wp:positionH relativeFrom="character">
                        <wp:align>left</wp:align>
                      </wp:positionH>
                      <wp:positionV relativeFrom="line">
                        <wp:posOffset>635</wp:posOffset>
                      </wp:positionV>
                      <wp:extent cx="591185" cy="175260"/>
                      <wp:effectExtent l="0" t="0" r="0" b="0"/>
                      <wp:wrapNone/>
                      <wp:docPr id="186" name="Frame185"/>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8">
                      <wp:simplePos x="0" y="0"/>
                      <wp:positionH relativeFrom="character">
                        <wp:align>left</wp:align>
                      </wp:positionH>
                      <wp:positionV relativeFrom="line">
                        <wp:posOffset>635</wp:posOffset>
                      </wp:positionV>
                      <wp:extent cx="69215" cy="175260"/>
                      <wp:effectExtent l="0" t="0" r="0" b="0"/>
                      <wp:wrapNone/>
                      <wp:docPr id="187" name="Frame18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9">
                      <wp:simplePos x="0" y="0"/>
                      <wp:positionH relativeFrom="character">
                        <wp:align>left</wp:align>
                      </wp:positionH>
                      <wp:positionV relativeFrom="line">
                        <wp:posOffset>635</wp:posOffset>
                      </wp:positionV>
                      <wp:extent cx="133985" cy="175260"/>
                      <wp:effectExtent l="0" t="0" r="0" b="0"/>
                      <wp:wrapNone/>
                      <wp:docPr id="188" name="Frame18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0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0">
                      <wp:simplePos x="0" y="0"/>
                      <wp:positionH relativeFrom="character">
                        <wp:align>left</wp:align>
                      </wp:positionH>
                      <wp:positionV relativeFrom="line">
                        <wp:posOffset>635</wp:posOffset>
                      </wp:positionV>
                      <wp:extent cx="664210" cy="175260"/>
                      <wp:effectExtent l="0" t="0" r="0" b="0"/>
                      <wp:wrapNone/>
                      <wp:docPr id="189" name="Frame188"/>
                      <a:graphic xmlns:a="http://schemas.openxmlformats.org/drawingml/2006/main">
                        <a:graphicData uri="http://schemas.microsoft.com/office/word/2010/wordprocessingShape">
                          <wps:wsp>
                            <wps:cNvSpPr txBox="1"/>
                            <wps:spPr>
                              <a:xfrm>
                                <a:off x="0" y="0"/>
                                <a:ext cx="6642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r>
      <w:tr>
        <w:trPr/>
        <w:tc>
          <w:tcPr>
            <w:tcW w:w="5056"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2508" w:type="dxa"/>
            <w:gridSpan w:val="5"/>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Six Months Ended June 30,</w:t>
            </w:r>
          </w:p>
        </w:tc>
      </w:tr>
      <w:tr>
        <w:trPr/>
        <w:tc>
          <w:tcPr>
            <w:tcW w:w="5056"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346"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  ​ ​ ​</w:t>
            </w:r>
          </w:p>
        </w:tc>
        <w:tc>
          <w:tcPr>
            <w:tcW w:w="1142"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2026</w:t>
            </w:r>
          </w:p>
        </w:tc>
        <w:tc>
          <w:tcPr>
            <w:tcW w:w="109"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1257"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2025</w:t>
            </w:r>
          </w:p>
        </w:tc>
      </w:tr>
      <w:tr>
        <w:trPr/>
        <w:tc>
          <w:tcPr>
            <w:tcW w:w="505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Operating expenses</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pPr>
            <w:r>
              <w:rPr/>
              <w:t>​</w:t>
            </w:r>
          </w:p>
        </w:tc>
        <w:tc>
          <w:tcPr>
            <w:tcW w:w="931" w:type="dxa"/>
            <w:tcBorders/>
            <w:shd w:fill="CCEEFF" w:val="clear"/>
            <w:vAlign w:val="center"/>
          </w:tcPr>
          <w:p>
            <w:pPr>
              <w:pStyle w:val="TableContents"/>
              <w:bidi w:val="0"/>
              <w:spacing w:lineRule="auto" w:line="285" w:before="0" w:after="0"/>
              <w:ind w:left="0" w:right="0" w:hanging="0"/>
              <w:jc w:val="left"/>
              <w:rPr/>
            </w:pPr>
            <w:r>
              <w:rPr/>
              <w:t>​</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pPr>
            <w:r>
              <w:rPr/>
              <w:t>​</w:t>
            </w:r>
          </w:p>
        </w:tc>
        <w:tc>
          <w:tcPr>
            <w:tcW w:w="1046" w:type="dxa"/>
            <w:tcBorders/>
            <w:shd w:fill="CCEEFF" w:val="clear"/>
            <w:vAlign w:val="center"/>
          </w:tcPr>
          <w:p>
            <w:pPr>
              <w:pStyle w:val="TableContents"/>
              <w:bidi w:val="0"/>
              <w:spacing w:lineRule="auto" w:line="285" w:before="0" w:after="0"/>
              <w:ind w:left="0" w:right="0" w:hanging="0"/>
              <w:jc w:val="left"/>
              <w:rPr/>
            </w:pPr>
            <w:r>
              <w:rPr/>
              <w:t>​</w:t>
            </w:r>
          </w:p>
        </w:tc>
      </w:tr>
      <w:tr>
        <w:trPr/>
        <w:tc>
          <w:tcPr>
            <w:tcW w:w="5056"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Research and development</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5,579</w:t>
            </w:r>
          </w:p>
        </w:tc>
        <w:tc>
          <w:tcPr>
            <w:tcW w:w="109"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46"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4,647</w:t>
            </w:r>
          </w:p>
        </w:tc>
      </w:tr>
      <w:tr>
        <w:trPr/>
        <w:tc>
          <w:tcPr>
            <w:tcW w:w="505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General and administrative</w:t>
            </w:r>
          </w:p>
        </w:tc>
        <w:tc>
          <w:tcPr>
            <w:tcW w:w="34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93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3,831</w:t>
            </w:r>
          </w:p>
        </w:tc>
        <w:tc>
          <w:tcPr>
            <w:tcW w:w="109"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104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3,540</w:t>
            </w:r>
          </w:p>
        </w:tc>
      </w:tr>
      <w:tr>
        <w:trPr/>
        <w:tc>
          <w:tcPr>
            <w:tcW w:w="5056"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Total operating expenses</w:t>
            </w:r>
          </w:p>
        </w:tc>
        <w:tc>
          <w:tcPr>
            <w:tcW w:w="346"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9,410</w:t>
            </w:r>
          </w:p>
        </w:tc>
        <w:tc>
          <w:tcPr>
            <w:tcW w:w="109"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 </w:t>
            </w:r>
          </w:p>
        </w:tc>
        <w:tc>
          <w:tcPr>
            <w:tcW w:w="1046"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8,187</w:t>
            </w:r>
          </w:p>
        </w:tc>
      </w:tr>
      <w:tr>
        <w:trPr/>
        <w:tc>
          <w:tcPr>
            <w:tcW w:w="505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Loss from operations</w:t>
            </w:r>
          </w:p>
        </w:tc>
        <w:tc>
          <w:tcPr>
            <w:tcW w:w="34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 </w:t>
            </w:r>
          </w:p>
        </w:tc>
        <w:tc>
          <w:tcPr>
            <w:tcW w:w="93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(9,410)</w:t>
            </w:r>
          </w:p>
        </w:tc>
        <w:tc>
          <w:tcPr>
            <w:tcW w:w="109"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 </w:t>
            </w:r>
          </w:p>
        </w:tc>
        <w:tc>
          <w:tcPr>
            <w:tcW w:w="104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(8,187)</w:t>
            </w:r>
          </w:p>
        </w:tc>
      </w:tr>
      <w:tr>
        <w:trPr/>
        <w:tc>
          <w:tcPr>
            <w:tcW w:w="5056"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Other income</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pPr>
            <w:r>
              <w:rPr/>
              <w:t>​</w:t>
            </w:r>
          </w:p>
        </w:tc>
        <w:tc>
          <w:tcPr>
            <w:tcW w:w="931" w:type="dxa"/>
            <w:tcBorders/>
            <w:vAlign w:val="center"/>
          </w:tcPr>
          <w:p>
            <w:pPr>
              <w:pStyle w:val="TableContents"/>
              <w:bidi w:val="0"/>
              <w:spacing w:lineRule="auto" w:line="285" w:before="0" w:after="0"/>
              <w:ind w:left="0" w:right="0" w:hanging="0"/>
              <w:jc w:val="righ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pPr>
            <w:r>
              <w:rPr/>
              <w:t>​</w:t>
            </w:r>
          </w:p>
        </w:tc>
        <w:tc>
          <w:tcPr>
            <w:tcW w:w="1046" w:type="dxa"/>
            <w:tcBorders/>
            <w:vAlign w:val="center"/>
          </w:tcPr>
          <w:p>
            <w:pPr>
              <w:pStyle w:val="TableContents"/>
              <w:bidi w:val="0"/>
              <w:spacing w:lineRule="auto" w:line="285" w:before="0" w:after="0"/>
              <w:ind w:left="0" w:right="0" w:hanging="0"/>
              <w:jc w:val="right"/>
              <w:rPr/>
            </w:pPr>
            <w:r>
              <w:rPr/>
              <w:t>​</w:t>
            </w:r>
          </w:p>
        </w:tc>
      </w:tr>
      <w:tr>
        <w:trPr/>
        <w:tc>
          <w:tcPr>
            <w:tcW w:w="505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Gain from change in fair value of warrant liabilities</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pPr>
            <w:r>
              <w:rPr/>
              <w:t>​</w:t>
            </w:r>
          </w:p>
        </w:tc>
        <w:tc>
          <w:tcPr>
            <w:tcW w:w="93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113</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pPr>
            <w:r>
              <w:rPr/>
              <w:t>​</w:t>
            </w:r>
          </w:p>
        </w:tc>
        <w:tc>
          <w:tcPr>
            <w:tcW w:w="1046"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247</w:t>
            </w:r>
          </w:p>
        </w:tc>
      </w:tr>
      <w:tr>
        <w:trPr/>
        <w:tc>
          <w:tcPr>
            <w:tcW w:w="5056"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Interest income, net</w:t>
            </w:r>
          </w:p>
        </w:tc>
        <w:tc>
          <w:tcPr>
            <w:tcW w:w="346"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158</w:t>
            </w:r>
          </w:p>
        </w:tc>
        <w:tc>
          <w:tcPr>
            <w:tcW w:w="109"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1046"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274</w:t>
            </w:r>
          </w:p>
        </w:tc>
      </w:tr>
      <w:tr>
        <w:trPr/>
        <w:tc>
          <w:tcPr>
            <w:tcW w:w="505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Total other income</w:t>
            </w:r>
          </w:p>
        </w:tc>
        <w:tc>
          <w:tcPr>
            <w:tcW w:w="34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93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271</w:t>
            </w:r>
          </w:p>
        </w:tc>
        <w:tc>
          <w:tcPr>
            <w:tcW w:w="109"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104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521</w:t>
            </w:r>
          </w:p>
        </w:tc>
      </w:tr>
      <w:tr>
        <w:trPr/>
        <w:tc>
          <w:tcPr>
            <w:tcW w:w="5056"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Loss before income taxes</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pPr>
            <w:r>
              <w:rPr/>
              <w:t>​</w:t>
            </w:r>
          </w:p>
        </w:tc>
        <w:tc>
          <w:tcPr>
            <w:tcW w:w="931"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(9,139)</w:t>
            </w:r>
          </w:p>
        </w:tc>
        <w:tc>
          <w:tcPr>
            <w:tcW w:w="109"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pPr>
            <w:r>
              <w:rPr/>
              <w:t>​</w:t>
            </w:r>
          </w:p>
        </w:tc>
        <w:tc>
          <w:tcPr>
            <w:tcW w:w="1046"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(7,666)</w:t>
            </w:r>
          </w:p>
        </w:tc>
      </w:tr>
      <w:tr>
        <w:trPr/>
        <w:tc>
          <w:tcPr>
            <w:tcW w:w="505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Provision for income taxes</w:t>
            </w:r>
          </w:p>
        </w:tc>
        <w:tc>
          <w:tcPr>
            <w:tcW w:w="34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93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pPr>
            <w:r>
              <w:rPr/>
              <w:t>—</w:t>
            </w:r>
          </w:p>
        </w:tc>
        <w:tc>
          <w:tcPr>
            <w:tcW w:w="109"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104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pPr>
            <w:r>
              <w:rPr/>
              <w:t>—</w:t>
            </w:r>
          </w:p>
        </w:tc>
      </w:tr>
      <w:tr>
        <w:trPr/>
        <w:tc>
          <w:tcPr>
            <w:tcW w:w="5056"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Net loss</w:t>
            </w:r>
          </w:p>
        </w:tc>
        <w:tc>
          <w:tcPr>
            <w:tcW w:w="346"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(9,139)</w:t>
            </w:r>
          </w:p>
        </w:tc>
        <w:tc>
          <w:tcPr>
            <w:tcW w:w="109"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46"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(7,666)</w:t>
            </w:r>
          </w:p>
        </w:tc>
      </w:tr>
      <w:tr>
        <w:trPr/>
        <w:tc>
          <w:tcPr>
            <w:tcW w:w="5056"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 xml:space="preserve">Loss per share of common stock, basic and diluted </w:t>
            </w:r>
          </w:p>
        </w:tc>
        <w:tc>
          <w:tcPr>
            <w:tcW w:w="346"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(1.69)</w:t>
            </w:r>
          </w:p>
        </w:tc>
        <w:tc>
          <w:tcPr>
            <w:tcW w:w="109"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46"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(6.59)</w:t>
            </w:r>
          </w:p>
        </w:tc>
      </w:tr>
      <w:tr>
        <w:trPr/>
        <w:tc>
          <w:tcPr>
            <w:tcW w:w="5056"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Weighted average shares of common stock, basic and diluted</w:t>
            </w:r>
          </w:p>
        </w:tc>
        <w:tc>
          <w:tcPr>
            <w:tcW w:w="346"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pPr>
            <w:r>
              <w:rPr/>
              <w:t> </w:t>
            </w:r>
          </w:p>
        </w:tc>
        <w:tc>
          <w:tcPr>
            <w:tcW w:w="931"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5,398,683</w:t>
            </w:r>
          </w:p>
        </w:tc>
        <w:tc>
          <w:tcPr>
            <w:tcW w:w="109"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pPr>
            <w:r>
              <w:rPr/>
              <w:t> </w:t>
            </w:r>
          </w:p>
        </w:tc>
        <w:tc>
          <w:tcPr>
            <w:tcW w:w="1046" w:type="dxa"/>
            <w:tcBorders>
              <w:bottom w:val="double" w:sz="6" w:space="0" w:color="000000"/>
            </w:tcBorders>
            <w:tcMar>
              <w:bottom w:w="28" w:type="dxa"/>
            </w:tcMar>
            <w:vAlign w:val="center"/>
          </w:tcPr>
          <w:p>
            <w:pPr>
              <w:pStyle w:val="TableContents"/>
              <w:bidi w:val="0"/>
              <w:spacing w:lineRule="auto" w:line="285" w:before="0" w:after="0"/>
              <w:ind w:left="0" w:right="70" w:hanging="0"/>
              <w:jc w:val="right"/>
              <w:rPr>
                <w:rFonts w:ascii="Times New Roman;Times;serif" w:hAnsi="Times New Roman;Times;serif"/>
                <w:sz w:val="20"/>
              </w:rPr>
            </w:pPr>
            <w:r>
              <w:rPr>
                <w:rFonts w:ascii="Times New Roman;Times;serif" w:hAnsi="Times New Roman;Times;serif"/>
                <w:sz w:val="20"/>
              </w:rPr>
              <w:t>1,162,692</w:t>
            </w:r>
          </w:p>
        </w:tc>
      </w:tr>
    </w:tbl>
    <w:p>
      <w:pPr>
        <w:pStyle w:val="TextBody"/>
        <w:bidi w:val="0"/>
        <w:spacing w:lineRule="auto" w:line="285" w:before="160" w:after="160"/>
        <w:ind w:left="0" w:right="0" w:hanging="0"/>
        <w:jc w:val="both"/>
        <w:rPr>
          <w:rFonts w:ascii="Times New Roman;Times;serif" w:hAnsi="Times New Roman;Times;serif"/>
          <w:i/>
          <w:sz w:val="20"/>
        </w:rPr>
      </w:pPr>
      <w:r>
        <w:rPr>
          <w:rFonts w:ascii="Times New Roman;Times;serif" w:hAnsi="Times New Roman;Times;serif"/>
          <w:i/>
          <w:sz w:val="20"/>
        </w:rPr>
        <w:t>Total operating expenses and loss from operations</w:t>
      </w:r>
    </w:p>
    <w:p>
      <w:pPr>
        <w:pStyle w:val="TextBody"/>
        <w:bidi w:val="0"/>
        <w:spacing w:lineRule="auto" w:line="285" w:before="160" w:after="160"/>
        <w:ind w:left="0" w:right="0" w:hanging="0"/>
        <w:jc w:val="both"/>
        <w:rPr>
          <w:rFonts w:ascii="Times New Roman;Times;serif" w:hAnsi="Times New Roman;Times;serif"/>
          <w:sz w:val="20"/>
        </w:rPr>
      </w:pPr>
      <w:r>
        <w:rPr>
          <w:rFonts w:ascii="Times New Roman;Times;serif" w:hAnsi="Times New Roman;Times;serif"/>
          <w:sz w:val="20"/>
        </w:rPr>
        <w:t xml:space="preserve">Our total operating expenses and loss from operations for the six months ended June 30, 2026 were $9.4 million, an increase of approximately $1.2 million, or 14.9%, compared to the corresponding period in 2025. This increase was attributable to higher R&amp;D and </w:t>
      </w:r>
      <w:r>
        <w:rPr>
          <w:rFonts w:ascii="Times New Roman;Times;serif" w:hAnsi="Times New Roman;Times;serif"/>
          <w:color w:val="212529"/>
          <w:sz w:val="20"/>
          <w:shd w:fill="FFFFFF" w:val="clear"/>
        </w:rPr>
        <w:t xml:space="preserve">G&amp;A expenses </w:t>
      </w:r>
      <w:r>
        <w:rPr>
          <w:rFonts w:ascii="Times New Roman;Times;serif" w:hAnsi="Times New Roman;Times;serif"/>
          <w:sz w:val="20"/>
        </w:rPr>
        <w:t xml:space="preserve">for the six months ended June 30, 2026. Our R&amp;D expenses were $5.6 million for the six months ended June 30, 2026, an increase of $0.9 million, or 20.1%, compared to the corresponding period in 2025. </w:t>
      </w:r>
      <w:r>
        <w:rPr>
          <w:rFonts w:ascii="Times New Roman;Times;serif" w:hAnsi="Times New Roman;Times;serif"/>
          <w:color w:val="212529"/>
          <w:sz w:val="20"/>
          <w:shd w:fill="FFFFFF" w:val="clear"/>
        </w:rPr>
        <w:t xml:space="preserve">Our G&amp;A expenses were $3.8 million for the six months ended </w:t>
      </w:r>
      <w:r>
        <w:rPr>
          <w:rFonts w:ascii="Times New Roman;Times;serif" w:hAnsi="Times New Roman;Times;serif"/>
          <w:sz w:val="20"/>
        </w:rPr>
        <w:t>June 30, 2026</w:t>
      </w:r>
      <w:r>
        <w:rPr>
          <w:rFonts w:ascii="Times New Roman;Times;serif" w:hAnsi="Times New Roman;Times;serif"/>
          <w:color w:val="212529"/>
          <w:sz w:val="20"/>
          <w:shd w:fill="FFFFFF" w:val="clear"/>
        </w:rPr>
        <w:t xml:space="preserve">, an increase of approximately $0.3 million, or 8.2%, compared to the corresponding period in 2025. </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21</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MetaVia Inc.</w:t>
      </w:r>
    </w:p>
    <w:p>
      <w:pPr>
        <w:pStyle w:val="TextBody"/>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Form 10-Q</w:t>
      </w:r>
    </w:p>
    <w:p>
      <w:pPr>
        <w:pStyle w:val="TextBody"/>
        <w:bidi w:val="0"/>
        <w:spacing w:lineRule="auto" w:line="285" w:before="0" w:after="0"/>
        <w:ind w:left="0" w:right="0" w:hanging="0"/>
        <w:jc w:val="center"/>
        <w:rPr/>
      </w:pPr>
      <w:r>
        <w:rPr/>
        <w:t>​</w:t>
      </w:r>
    </w:p>
    <w:p>
      <w:pPr>
        <w:pStyle w:val="TextBody"/>
        <w:bidi w:val="0"/>
        <w:spacing w:lineRule="auto" w:line="285" w:before="0" w:after="160"/>
        <w:ind w:left="0" w:right="0" w:hanging="0"/>
        <w:jc w:val="both"/>
        <w:rPr>
          <w:rFonts w:ascii="Times New Roman;Times;serif" w:hAnsi="Times New Roman;Times;serif"/>
          <w:sz w:val="20"/>
        </w:rPr>
      </w:pPr>
      <w:r>
        <w:rPr>
          <w:rFonts w:ascii="Times New Roman;Times;serif" w:hAnsi="Times New Roman;Times;serif"/>
          <w:sz w:val="20"/>
        </w:rPr>
        <w:t>The following table summarizes our R&amp;D expenses for the six months ended June 30, 2026 and 2025 (in thousands):</w:t>
      </w:r>
    </w:p>
    <w:tbl>
      <w:tblPr>
        <w:tblW w:w="5895" w:type="dxa"/>
        <w:jc w:val="left"/>
        <w:tblInd w:w="0" w:type="dxa"/>
        <w:tblLayout w:type="fixed"/>
        <w:tblCellMar>
          <w:top w:w="0" w:type="dxa"/>
          <w:left w:w="0" w:type="dxa"/>
          <w:bottom w:w="0" w:type="dxa"/>
          <w:right w:w="0" w:type="dxa"/>
        </w:tblCellMar>
      </w:tblPr>
      <w:tblGrid>
        <w:gridCol w:w="3166"/>
        <w:gridCol w:w="346"/>
        <w:gridCol w:w="281"/>
        <w:gridCol w:w="761"/>
        <w:gridCol w:w="145"/>
        <w:gridCol w:w="281"/>
        <w:gridCol w:w="915"/>
      </w:tblGrid>
      <w:tr>
        <w:trPr/>
        <w:tc>
          <w:tcPr>
            <w:tcW w:w="31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1">
                      <wp:simplePos x="0" y="0"/>
                      <wp:positionH relativeFrom="character">
                        <wp:align>left</wp:align>
                      </wp:positionH>
                      <wp:positionV relativeFrom="line">
                        <wp:posOffset>635</wp:posOffset>
                      </wp:positionV>
                      <wp:extent cx="2010410" cy="175260"/>
                      <wp:effectExtent l="0" t="0" r="0" b="0"/>
                      <wp:wrapNone/>
                      <wp:docPr id="190" name="Frame189"/>
                      <a:graphic xmlns:a="http://schemas.openxmlformats.org/drawingml/2006/main">
                        <a:graphicData uri="http://schemas.microsoft.com/office/word/2010/wordprocessingShape">
                          <wps:wsp>
                            <wps:cNvSpPr txBox="1"/>
                            <wps:spPr>
                              <a:xfrm>
                                <a:off x="0" y="0"/>
                                <a:ext cx="20104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2">
                      <wp:simplePos x="0" y="0"/>
                      <wp:positionH relativeFrom="character">
                        <wp:align>left</wp:align>
                      </wp:positionH>
                      <wp:positionV relativeFrom="line">
                        <wp:posOffset>635</wp:posOffset>
                      </wp:positionV>
                      <wp:extent cx="219710" cy="175260"/>
                      <wp:effectExtent l="0" t="0" r="0" b="0"/>
                      <wp:wrapNone/>
                      <wp:docPr id="191" name="Frame19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3">
                      <wp:simplePos x="0" y="0"/>
                      <wp:positionH relativeFrom="character">
                        <wp:align>left</wp:align>
                      </wp:positionH>
                      <wp:positionV relativeFrom="line">
                        <wp:posOffset>635</wp:posOffset>
                      </wp:positionV>
                      <wp:extent cx="178435" cy="175260"/>
                      <wp:effectExtent l="0" t="0" r="0" b="0"/>
                      <wp:wrapNone/>
                      <wp:docPr id="192" name="Frame191"/>
                      <a:graphic xmlns:a="http://schemas.openxmlformats.org/drawingml/2006/main">
                        <a:graphicData uri="http://schemas.microsoft.com/office/word/2010/wordprocessingShape">
                          <wps:wsp>
                            <wps:cNvSpPr txBox="1"/>
                            <wps:spPr>
                              <a:xfrm>
                                <a:off x="0" y="0"/>
                                <a:ext cx="17843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7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4">
                      <wp:simplePos x="0" y="0"/>
                      <wp:positionH relativeFrom="character">
                        <wp:align>left</wp:align>
                      </wp:positionH>
                      <wp:positionV relativeFrom="line">
                        <wp:posOffset>635</wp:posOffset>
                      </wp:positionV>
                      <wp:extent cx="483235" cy="175260"/>
                      <wp:effectExtent l="0" t="0" r="0" b="0"/>
                      <wp:wrapNone/>
                      <wp:docPr id="193" name="Frame192"/>
                      <a:graphic xmlns:a="http://schemas.openxmlformats.org/drawingml/2006/main">
                        <a:graphicData uri="http://schemas.microsoft.com/office/word/2010/wordprocessingShape">
                          <wps:wsp>
                            <wps:cNvSpPr txBox="1"/>
                            <wps:spPr>
                              <a:xfrm>
                                <a:off x="0" y="0"/>
                                <a:ext cx="48323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4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5">
                      <wp:simplePos x="0" y="0"/>
                      <wp:positionH relativeFrom="character">
                        <wp:align>left</wp:align>
                      </wp:positionH>
                      <wp:positionV relativeFrom="line">
                        <wp:posOffset>635</wp:posOffset>
                      </wp:positionV>
                      <wp:extent cx="92075" cy="175260"/>
                      <wp:effectExtent l="0" t="0" r="0" b="0"/>
                      <wp:wrapNone/>
                      <wp:docPr id="194" name="Frame193"/>
                      <a:graphic xmlns:a="http://schemas.openxmlformats.org/drawingml/2006/main">
                        <a:graphicData uri="http://schemas.microsoft.com/office/word/2010/wordprocessingShape">
                          <wps:wsp>
                            <wps:cNvSpPr txBox="1"/>
                            <wps:spPr>
                              <a:xfrm>
                                <a:off x="0" y="0"/>
                                <a:ext cx="9207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6">
                      <wp:simplePos x="0" y="0"/>
                      <wp:positionH relativeFrom="character">
                        <wp:align>left</wp:align>
                      </wp:positionH>
                      <wp:positionV relativeFrom="line">
                        <wp:posOffset>635</wp:posOffset>
                      </wp:positionV>
                      <wp:extent cx="178435" cy="175260"/>
                      <wp:effectExtent l="0" t="0" r="0" b="0"/>
                      <wp:wrapNone/>
                      <wp:docPr id="195" name="Frame194"/>
                      <a:graphic xmlns:a="http://schemas.openxmlformats.org/drawingml/2006/main">
                        <a:graphicData uri="http://schemas.microsoft.com/office/word/2010/wordprocessingShape">
                          <wps:wsp>
                            <wps:cNvSpPr txBox="1"/>
                            <wps:spPr>
                              <a:xfrm>
                                <a:off x="0" y="0"/>
                                <a:ext cx="17843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91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7">
                      <wp:simplePos x="0" y="0"/>
                      <wp:positionH relativeFrom="character">
                        <wp:align>left</wp:align>
                      </wp:positionH>
                      <wp:positionV relativeFrom="line">
                        <wp:posOffset>635</wp:posOffset>
                      </wp:positionV>
                      <wp:extent cx="581025" cy="175260"/>
                      <wp:effectExtent l="0" t="0" r="0" b="0"/>
                      <wp:wrapNone/>
                      <wp:docPr id="196" name="Frame195"/>
                      <a:graphic xmlns:a="http://schemas.openxmlformats.org/drawingml/2006/main">
                        <a:graphicData uri="http://schemas.microsoft.com/office/word/2010/wordprocessingShape">
                          <wps:wsp>
                            <wps:cNvSpPr txBox="1"/>
                            <wps:spPr>
                              <a:xfrm>
                                <a:off x="0" y="0"/>
                                <a:ext cx="58102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r>
      <w:tr>
        <w:trPr/>
        <w:tc>
          <w:tcPr>
            <w:tcW w:w="3166"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2383" w:type="dxa"/>
            <w:gridSpan w:val="5"/>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Six Months Ended June 30,</w:t>
            </w:r>
          </w:p>
        </w:tc>
      </w:tr>
      <w:tr>
        <w:trPr/>
        <w:tc>
          <w:tcPr>
            <w:tcW w:w="3166"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346"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  ​ ​ ​</w:t>
            </w:r>
          </w:p>
        </w:tc>
        <w:tc>
          <w:tcPr>
            <w:tcW w:w="1042"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2026</w:t>
            </w:r>
          </w:p>
        </w:tc>
        <w:tc>
          <w:tcPr>
            <w:tcW w:w="145"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1196"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2025</w:t>
            </w:r>
          </w:p>
        </w:tc>
      </w:tr>
      <w:tr>
        <w:trPr/>
        <w:tc>
          <w:tcPr>
            <w:tcW w:w="316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Direct costs</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81" w:type="dxa"/>
            <w:tcBorders/>
            <w:shd w:fill="CCEEFF" w:val="clear"/>
            <w:vAlign w:val="center"/>
          </w:tcPr>
          <w:p>
            <w:pPr>
              <w:pStyle w:val="TableContents"/>
              <w:bidi w:val="0"/>
              <w:spacing w:lineRule="auto" w:line="285" w:before="0" w:after="0"/>
              <w:ind w:left="0" w:right="0" w:hanging="0"/>
              <w:jc w:val="left"/>
              <w:rPr/>
            </w:pPr>
            <w:r>
              <w:rPr/>
              <w:t>​</w:t>
            </w:r>
          </w:p>
        </w:tc>
        <w:tc>
          <w:tcPr>
            <w:tcW w:w="761" w:type="dxa"/>
            <w:tcBorders/>
            <w:shd w:fill="CCEEFF" w:val="clear"/>
            <w:vAlign w:val="center"/>
          </w:tcPr>
          <w:p>
            <w:pPr>
              <w:pStyle w:val="TableContents"/>
              <w:bidi w:val="0"/>
              <w:spacing w:lineRule="auto" w:line="285" w:before="0" w:after="0"/>
              <w:ind w:left="0" w:right="0" w:hanging="0"/>
              <w:jc w:val="left"/>
              <w:rPr/>
            </w:pPr>
            <w:r>
              <w:rPr/>
              <w:t>​</w:t>
            </w:r>
          </w:p>
        </w:tc>
        <w:tc>
          <w:tcPr>
            <w:tcW w:w="145" w:type="dxa"/>
            <w:tcBorders/>
            <w:shd w:fill="CCEEFF" w:val="clear"/>
            <w:vAlign w:val="center"/>
          </w:tcPr>
          <w:p>
            <w:pPr>
              <w:pStyle w:val="TableContents"/>
              <w:bidi w:val="0"/>
              <w:spacing w:lineRule="auto" w:line="285" w:before="0" w:after="0"/>
              <w:ind w:left="0" w:right="0" w:hanging="0"/>
              <w:jc w:val="left"/>
              <w:rPr/>
            </w:pPr>
            <w:r>
              <w:rPr/>
              <w:t>​</w:t>
            </w:r>
          </w:p>
        </w:tc>
        <w:tc>
          <w:tcPr>
            <w:tcW w:w="281" w:type="dxa"/>
            <w:tcBorders/>
            <w:shd w:fill="CCEEFF" w:val="clear"/>
            <w:vAlign w:val="center"/>
          </w:tcPr>
          <w:p>
            <w:pPr>
              <w:pStyle w:val="TableContents"/>
              <w:bidi w:val="0"/>
              <w:spacing w:lineRule="auto" w:line="285" w:before="0" w:after="0"/>
              <w:ind w:left="0" w:right="0" w:hanging="0"/>
              <w:jc w:val="left"/>
              <w:rPr/>
            </w:pPr>
            <w:r>
              <w:rPr/>
              <w:t>​</w:t>
            </w:r>
          </w:p>
        </w:tc>
        <w:tc>
          <w:tcPr>
            <w:tcW w:w="915" w:type="dxa"/>
            <w:tcBorders/>
            <w:shd w:fill="CCEEFF" w:val="clear"/>
            <w:vAlign w:val="center"/>
          </w:tcPr>
          <w:p>
            <w:pPr>
              <w:pStyle w:val="TableContents"/>
              <w:bidi w:val="0"/>
              <w:spacing w:lineRule="auto" w:line="285" w:before="0" w:after="0"/>
              <w:ind w:left="0" w:right="0" w:hanging="0"/>
              <w:jc w:val="left"/>
              <w:rPr/>
            </w:pPr>
            <w:r>
              <w:rPr/>
              <w:t>​</w:t>
            </w:r>
          </w:p>
        </w:tc>
      </w:tr>
      <w:tr>
        <w:trPr/>
        <w:tc>
          <w:tcPr>
            <w:tcW w:w="3166"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Vanoglipel</w:t>
            </w:r>
          </w:p>
        </w:tc>
        <w:tc>
          <w:tcPr>
            <w:tcW w:w="346" w:type="dxa"/>
            <w:tcBorders/>
            <w:vAlign w:val="center"/>
          </w:tcPr>
          <w:p>
            <w:pPr>
              <w:pStyle w:val="TableContents"/>
              <w:bidi w:val="0"/>
              <w:spacing w:lineRule="auto" w:line="285" w:before="0" w:after="0"/>
              <w:ind w:left="0" w:right="0" w:hanging="0"/>
              <w:jc w:val="left"/>
              <w:rPr/>
            </w:pPr>
            <w:r>
              <w:rPr/>
              <w:t>​</w:t>
            </w:r>
          </w:p>
        </w:tc>
        <w:tc>
          <w:tcPr>
            <w:tcW w:w="28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61"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402</w:t>
            </w:r>
          </w:p>
        </w:tc>
        <w:tc>
          <w:tcPr>
            <w:tcW w:w="145" w:type="dxa"/>
            <w:tcBorders/>
            <w:vAlign w:val="center"/>
          </w:tcPr>
          <w:p>
            <w:pPr>
              <w:pStyle w:val="TableContents"/>
              <w:bidi w:val="0"/>
              <w:spacing w:lineRule="auto" w:line="285" w:before="0" w:after="0"/>
              <w:ind w:left="0" w:right="0" w:hanging="0"/>
              <w:jc w:val="left"/>
              <w:rPr/>
            </w:pPr>
            <w:r>
              <w:rPr/>
              <w:t>​</w:t>
            </w:r>
          </w:p>
        </w:tc>
        <w:tc>
          <w:tcPr>
            <w:tcW w:w="28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15"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568</w:t>
            </w:r>
          </w:p>
        </w:tc>
      </w:tr>
      <w:tr>
        <w:trPr/>
        <w:tc>
          <w:tcPr>
            <w:tcW w:w="316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DA-1726</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81" w:type="dxa"/>
            <w:tcBorders/>
            <w:shd w:fill="CCEEFF" w:val="clear"/>
            <w:vAlign w:val="center"/>
          </w:tcPr>
          <w:p>
            <w:pPr>
              <w:pStyle w:val="TableContents"/>
              <w:bidi w:val="0"/>
              <w:spacing w:lineRule="auto" w:line="285" w:before="0" w:after="0"/>
              <w:ind w:left="0" w:right="0" w:hanging="0"/>
              <w:jc w:val="left"/>
              <w:rPr/>
            </w:pPr>
            <w:r>
              <w:rPr/>
              <w:t>​</w:t>
            </w:r>
          </w:p>
        </w:tc>
        <w:tc>
          <w:tcPr>
            <w:tcW w:w="76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4,164</w:t>
            </w:r>
          </w:p>
        </w:tc>
        <w:tc>
          <w:tcPr>
            <w:tcW w:w="145" w:type="dxa"/>
            <w:tcBorders/>
            <w:shd w:fill="CCEEFF" w:val="clear"/>
            <w:vAlign w:val="center"/>
          </w:tcPr>
          <w:p>
            <w:pPr>
              <w:pStyle w:val="TableContents"/>
              <w:bidi w:val="0"/>
              <w:spacing w:lineRule="auto" w:line="285" w:before="0" w:after="0"/>
              <w:ind w:left="0" w:right="0" w:hanging="0"/>
              <w:jc w:val="left"/>
              <w:rPr/>
            </w:pPr>
            <w:r>
              <w:rPr/>
              <w:t>​</w:t>
            </w:r>
          </w:p>
        </w:tc>
        <w:tc>
          <w:tcPr>
            <w:tcW w:w="281" w:type="dxa"/>
            <w:tcBorders/>
            <w:shd w:fill="CCEEFF" w:val="clear"/>
            <w:vAlign w:val="center"/>
          </w:tcPr>
          <w:p>
            <w:pPr>
              <w:pStyle w:val="TableContents"/>
              <w:bidi w:val="0"/>
              <w:spacing w:lineRule="auto" w:line="285" w:before="0" w:after="0"/>
              <w:ind w:left="0" w:right="0" w:hanging="0"/>
              <w:jc w:val="left"/>
              <w:rPr/>
            </w:pPr>
            <w:r>
              <w:rPr/>
              <w:t>​</w:t>
            </w:r>
          </w:p>
        </w:tc>
        <w:tc>
          <w:tcPr>
            <w:tcW w:w="915"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3,008</w:t>
            </w:r>
          </w:p>
        </w:tc>
      </w:tr>
      <w:tr>
        <w:trPr/>
        <w:tc>
          <w:tcPr>
            <w:tcW w:w="3166"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Other R&amp;D</w:t>
            </w:r>
          </w:p>
        </w:tc>
        <w:tc>
          <w:tcPr>
            <w:tcW w:w="346" w:type="dxa"/>
            <w:tcBorders/>
            <w:vAlign w:val="center"/>
          </w:tcPr>
          <w:p>
            <w:pPr>
              <w:pStyle w:val="TableContents"/>
              <w:bidi w:val="0"/>
              <w:spacing w:lineRule="auto" w:line="285" w:before="0" w:after="0"/>
              <w:ind w:left="0" w:right="0" w:hanging="0"/>
              <w:jc w:val="left"/>
              <w:rPr/>
            </w:pPr>
            <w:r>
              <w:rPr/>
              <w:t>​</w:t>
            </w:r>
          </w:p>
        </w:tc>
        <w:tc>
          <w:tcPr>
            <w:tcW w:w="281" w:type="dxa"/>
            <w:tcBorders/>
            <w:vAlign w:val="center"/>
          </w:tcPr>
          <w:p>
            <w:pPr>
              <w:pStyle w:val="TableContents"/>
              <w:bidi w:val="0"/>
              <w:spacing w:lineRule="auto" w:line="285" w:before="0" w:after="0"/>
              <w:ind w:left="0" w:right="0" w:hanging="0"/>
              <w:jc w:val="left"/>
              <w:rPr/>
            </w:pPr>
            <w:r>
              <w:rPr/>
              <w:t>​</w:t>
            </w:r>
          </w:p>
        </w:tc>
        <w:tc>
          <w:tcPr>
            <w:tcW w:w="761"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53</w:t>
            </w:r>
          </w:p>
        </w:tc>
        <w:tc>
          <w:tcPr>
            <w:tcW w:w="145" w:type="dxa"/>
            <w:tcBorders/>
            <w:vAlign w:val="center"/>
          </w:tcPr>
          <w:p>
            <w:pPr>
              <w:pStyle w:val="TableContents"/>
              <w:bidi w:val="0"/>
              <w:spacing w:lineRule="auto" w:line="285" w:before="0" w:after="0"/>
              <w:ind w:left="0" w:right="0" w:hanging="0"/>
              <w:jc w:val="left"/>
              <w:rPr/>
            </w:pPr>
            <w:r>
              <w:rPr/>
              <w:t>​</w:t>
            </w:r>
          </w:p>
        </w:tc>
        <w:tc>
          <w:tcPr>
            <w:tcW w:w="281" w:type="dxa"/>
            <w:tcBorders/>
            <w:vAlign w:val="center"/>
          </w:tcPr>
          <w:p>
            <w:pPr>
              <w:pStyle w:val="TableContents"/>
              <w:bidi w:val="0"/>
              <w:spacing w:lineRule="auto" w:line="285" w:before="0" w:after="0"/>
              <w:ind w:left="0" w:right="0" w:hanging="0"/>
              <w:jc w:val="left"/>
              <w:rPr/>
            </w:pPr>
            <w:r>
              <w:rPr/>
              <w:t>​</w:t>
            </w:r>
          </w:p>
        </w:tc>
        <w:tc>
          <w:tcPr>
            <w:tcW w:w="915"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55</w:t>
            </w:r>
          </w:p>
        </w:tc>
      </w:tr>
      <w:tr>
        <w:trPr/>
        <w:tc>
          <w:tcPr>
            <w:tcW w:w="316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Indirect costs</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81" w:type="dxa"/>
            <w:tcBorders/>
            <w:shd w:fill="CCEEFF" w:val="clear"/>
            <w:vAlign w:val="center"/>
          </w:tcPr>
          <w:p>
            <w:pPr>
              <w:pStyle w:val="TableContents"/>
              <w:bidi w:val="0"/>
              <w:spacing w:lineRule="auto" w:line="285" w:before="0" w:after="0"/>
              <w:ind w:left="0" w:right="0" w:hanging="0"/>
              <w:jc w:val="left"/>
              <w:rPr/>
            </w:pPr>
            <w:r>
              <w:rPr/>
              <w:t>​</w:t>
            </w:r>
          </w:p>
        </w:tc>
        <w:tc>
          <w:tcPr>
            <w:tcW w:w="761" w:type="dxa"/>
            <w:tcBorders/>
            <w:shd w:fill="CCEEFF" w:val="clear"/>
            <w:vAlign w:val="center"/>
          </w:tcPr>
          <w:p>
            <w:pPr>
              <w:pStyle w:val="TableContents"/>
              <w:bidi w:val="0"/>
              <w:spacing w:lineRule="auto" w:line="285" w:before="0" w:after="0"/>
              <w:ind w:left="0" w:right="0" w:hanging="0"/>
              <w:jc w:val="left"/>
              <w:rPr/>
            </w:pPr>
            <w:r>
              <w:rPr/>
              <w:t>​</w:t>
            </w:r>
          </w:p>
        </w:tc>
        <w:tc>
          <w:tcPr>
            <w:tcW w:w="145" w:type="dxa"/>
            <w:tcBorders/>
            <w:shd w:fill="CCEEFF" w:val="clear"/>
            <w:vAlign w:val="center"/>
          </w:tcPr>
          <w:p>
            <w:pPr>
              <w:pStyle w:val="TableContents"/>
              <w:bidi w:val="0"/>
              <w:spacing w:lineRule="auto" w:line="285" w:before="0" w:after="0"/>
              <w:ind w:left="0" w:right="0" w:hanging="0"/>
              <w:jc w:val="left"/>
              <w:rPr/>
            </w:pPr>
            <w:r>
              <w:rPr/>
              <w:t>​</w:t>
            </w:r>
          </w:p>
        </w:tc>
        <w:tc>
          <w:tcPr>
            <w:tcW w:w="281" w:type="dxa"/>
            <w:tcBorders/>
            <w:shd w:fill="CCEEFF" w:val="clear"/>
            <w:vAlign w:val="center"/>
          </w:tcPr>
          <w:p>
            <w:pPr>
              <w:pStyle w:val="TableContents"/>
              <w:bidi w:val="0"/>
              <w:spacing w:lineRule="auto" w:line="285" w:before="0" w:after="0"/>
              <w:ind w:left="0" w:right="0" w:hanging="0"/>
              <w:jc w:val="left"/>
              <w:rPr/>
            </w:pPr>
            <w:r>
              <w:rPr/>
              <w:t>​</w:t>
            </w:r>
          </w:p>
        </w:tc>
        <w:tc>
          <w:tcPr>
            <w:tcW w:w="915" w:type="dxa"/>
            <w:tcBorders/>
            <w:shd w:fill="CCEEFF" w:val="clear"/>
            <w:vAlign w:val="center"/>
          </w:tcPr>
          <w:p>
            <w:pPr>
              <w:pStyle w:val="TableContents"/>
              <w:bidi w:val="0"/>
              <w:spacing w:lineRule="auto" w:line="285" w:before="0" w:after="0"/>
              <w:ind w:left="0" w:right="0" w:hanging="0"/>
              <w:jc w:val="left"/>
              <w:rPr/>
            </w:pPr>
            <w:r>
              <w:rPr/>
              <w:t>​</w:t>
            </w:r>
          </w:p>
        </w:tc>
      </w:tr>
      <w:tr>
        <w:trPr/>
        <w:tc>
          <w:tcPr>
            <w:tcW w:w="3166"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Employee compensation and benefits</w:t>
            </w:r>
          </w:p>
        </w:tc>
        <w:tc>
          <w:tcPr>
            <w:tcW w:w="346" w:type="dxa"/>
            <w:tcBorders/>
            <w:vAlign w:val="center"/>
          </w:tcPr>
          <w:p>
            <w:pPr>
              <w:pStyle w:val="TableContents"/>
              <w:bidi w:val="0"/>
              <w:spacing w:lineRule="auto" w:line="285" w:before="0" w:after="0"/>
              <w:ind w:left="0" w:right="0" w:hanging="0"/>
              <w:jc w:val="left"/>
              <w:rPr/>
            </w:pPr>
            <w:r>
              <w:rPr/>
              <w:t>​</w:t>
            </w:r>
          </w:p>
        </w:tc>
        <w:tc>
          <w:tcPr>
            <w:tcW w:w="281" w:type="dxa"/>
            <w:tcBorders/>
            <w:vAlign w:val="center"/>
          </w:tcPr>
          <w:p>
            <w:pPr>
              <w:pStyle w:val="TableContents"/>
              <w:bidi w:val="0"/>
              <w:spacing w:lineRule="auto" w:line="285" w:before="0" w:after="0"/>
              <w:ind w:left="0" w:right="0" w:hanging="0"/>
              <w:jc w:val="left"/>
              <w:rPr/>
            </w:pPr>
            <w:r>
              <w:rPr/>
              <w:t>​</w:t>
            </w:r>
          </w:p>
        </w:tc>
        <w:tc>
          <w:tcPr>
            <w:tcW w:w="761"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880</w:t>
            </w:r>
          </w:p>
        </w:tc>
        <w:tc>
          <w:tcPr>
            <w:tcW w:w="145" w:type="dxa"/>
            <w:tcBorders/>
            <w:vAlign w:val="center"/>
          </w:tcPr>
          <w:p>
            <w:pPr>
              <w:pStyle w:val="TableContents"/>
              <w:bidi w:val="0"/>
              <w:spacing w:lineRule="auto" w:line="285" w:before="0" w:after="0"/>
              <w:ind w:left="0" w:right="0" w:hanging="0"/>
              <w:jc w:val="left"/>
              <w:rPr/>
            </w:pPr>
            <w:r>
              <w:rPr/>
              <w:t>​</w:t>
            </w:r>
          </w:p>
        </w:tc>
        <w:tc>
          <w:tcPr>
            <w:tcW w:w="281" w:type="dxa"/>
            <w:tcBorders/>
            <w:vAlign w:val="center"/>
          </w:tcPr>
          <w:p>
            <w:pPr>
              <w:pStyle w:val="TableContents"/>
              <w:bidi w:val="0"/>
              <w:spacing w:lineRule="auto" w:line="285" w:before="0" w:after="0"/>
              <w:ind w:left="0" w:right="0" w:hanging="0"/>
              <w:jc w:val="left"/>
              <w:rPr/>
            </w:pPr>
            <w:r>
              <w:rPr/>
              <w:t>​</w:t>
            </w:r>
          </w:p>
        </w:tc>
        <w:tc>
          <w:tcPr>
            <w:tcW w:w="915"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950</w:t>
            </w:r>
          </w:p>
        </w:tc>
      </w:tr>
      <w:tr>
        <w:trPr/>
        <w:tc>
          <w:tcPr>
            <w:tcW w:w="316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Consulting</w:t>
            </w:r>
          </w:p>
        </w:tc>
        <w:tc>
          <w:tcPr>
            <w:tcW w:w="34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28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76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80</w:t>
            </w:r>
          </w:p>
        </w:tc>
        <w:tc>
          <w:tcPr>
            <w:tcW w:w="145"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28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915"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66</w:t>
            </w:r>
          </w:p>
        </w:tc>
      </w:tr>
      <w:tr>
        <w:trPr/>
        <w:tc>
          <w:tcPr>
            <w:tcW w:w="3166"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Total research and development</w:t>
            </w:r>
          </w:p>
        </w:tc>
        <w:tc>
          <w:tcPr>
            <w:tcW w:w="346"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281"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61"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5,579</w:t>
            </w:r>
          </w:p>
        </w:tc>
        <w:tc>
          <w:tcPr>
            <w:tcW w:w="145"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281"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15" w:type="dxa"/>
            <w:tcBorders>
              <w:bottom w:val="double" w:sz="6" w:space="0" w:color="000000"/>
            </w:tcBorders>
            <w:tcMar>
              <w:bottom w:w="28" w:type="dxa"/>
            </w:tcMar>
            <w:vAlign w:val="center"/>
          </w:tcPr>
          <w:p>
            <w:pPr>
              <w:pStyle w:val="TableContents"/>
              <w:bidi w:val="0"/>
              <w:spacing w:lineRule="auto" w:line="285" w:before="0" w:after="0"/>
              <w:ind w:left="0" w:right="70" w:hanging="0"/>
              <w:jc w:val="right"/>
              <w:rPr>
                <w:rFonts w:ascii="Times New Roman;Times;serif" w:hAnsi="Times New Roman;Times;serif"/>
                <w:sz w:val="20"/>
              </w:rPr>
            </w:pPr>
            <w:r>
              <w:rPr>
                <w:rFonts w:ascii="Times New Roman;Times;serif" w:hAnsi="Times New Roman;Times;serif"/>
                <w:sz w:val="20"/>
              </w:rPr>
              <w:t>4,647</w:t>
            </w:r>
          </w:p>
        </w:tc>
      </w:tr>
    </w:tbl>
    <w:p>
      <w:pPr>
        <w:pStyle w:val="TextBody"/>
        <w:bidi w:val="0"/>
        <w:spacing w:lineRule="auto" w:line="285" w:before="160" w:after="160"/>
        <w:ind w:left="0" w:right="0" w:hanging="0"/>
        <w:jc w:val="both"/>
        <w:rPr>
          <w:rFonts w:ascii="Times New Roman;Times;serif" w:hAnsi="Times New Roman;Times;serif"/>
          <w:sz w:val="20"/>
        </w:rPr>
      </w:pPr>
      <w:r>
        <w:rPr>
          <w:rFonts w:ascii="Times New Roman;Times;serif" w:hAnsi="Times New Roman;Times;serif"/>
          <w:color w:val="212529"/>
          <w:sz w:val="20"/>
          <w:shd w:fill="FFFFFF" w:val="clear"/>
        </w:rPr>
        <w:t xml:space="preserve">The $0.9 million increase in R&amp;D expenses reflects increased R&amp;D activities related to the Phase 1 clinical trial for DA-1726 during the six months ended June 30, 2026 as compared to the corresponding period in 2025. Specifically, the increase in R&amp;D expenses was primarily attributable to $1.2 million in higher direct R&amp;D expenses related to DA-1726 product development, partially offset by (i) $0.2 million in lower direct R&amp;D expenses related to vanoglipel product development and (ii) $0.1 million in lower indirect employee compensation and benefits costs. Included in direct R&amp;D costs were expenses totaling $0.9 million and $2.4 million for the six months ended </w:t>
      </w:r>
      <w:r>
        <w:rPr>
          <w:rFonts w:ascii="Times New Roman;Times;serif" w:hAnsi="Times New Roman;Times;serif"/>
          <w:sz w:val="20"/>
        </w:rPr>
        <w:t>June 30, 2026</w:t>
      </w:r>
      <w:r>
        <w:rPr>
          <w:rFonts w:ascii="Times New Roman;Times;serif" w:hAnsi="Times New Roman;Times;serif"/>
          <w:color w:val="212529"/>
          <w:sz w:val="20"/>
          <w:shd w:fill="FFFFFF" w:val="clear"/>
        </w:rPr>
        <w:t xml:space="preserve"> and 2025, respectively, related to investigational drug manufacturing, non-clinical and preclinical costs incurred under the Shared Services Agreement with Dong-A ST (related party). </w:t>
      </w:r>
    </w:p>
    <w:p>
      <w:pPr>
        <w:pStyle w:val="TextBody"/>
        <w:bidi w:val="0"/>
        <w:spacing w:lineRule="auto" w:line="285" w:before="0" w:after="0"/>
        <w:ind w:left="0" w:right="0" w:hanging="0"/>
        <w:jc w:val="both"/>
        <w:rPr>
          <w:rFonts w:ascii="Times New Roman;Times;serif" w:hAnsi="Times New Roman;Times;serif"/>
          <w:sz w:val="20"/>
        </w:rPr>
      </w:pPr>
      <w:r>
        <w:rPr>
          <w:rFonts w:ascii="Times New Roman;Times;serif" w:hAnsi="Times New Roman;Times;serif"/>
          <w:color w:val="212529"/>
          <w:sz w:val="20"/>
          <w:shd w:fill="FFFFFF" w:val="clear"/>
        </w:rPr>
        <w:t xml:space="preserve">The $0.3 million increase in </w:t>
      </w:r>
      <w:r>
        <w:rPr>
          <w:rFonts w:ascii="Times New Roman;Times;serif" w:hAnsi="Times New Roman;Times;serif"/>
          <w:sz w:val="20"/>
        </w:rPr>
        <w:t>G&amp;A</w:t>
      </w:r>
      <w:r>
        <w:rPr>
          <w:rFonts w:ascii="Times New Roman;Times;serif" w:hAnsi="Times New Roman;Times;serif"/>
          <w:color w:val="212529"/>
          <w:sz w:val="20"/>
          <w:shd w:fill="FFFFFF" w:val="clear"/>
        </w:rPr>
        <w:t xml:space="preserve"> expenses was primarily attributable to (i) $0.1 million in higher consulting expenditures, (ii) approximately $0.1 million in higher employee compensation and benefits costs, and (iii) $0.1 million in higher other G&amp;A expenses, which was primarily related to higher franchise tax expenses. </w:t>
      </w:r>
    </w:p>
    <w:p>
      <w:pPr>
        <w:pStyle w:val="TextBody"/>
        <w:bidi w:val="0"/>
        <w:spacing w:lineRule="auto" w:line="285" w:before="160" w:after="160"/>
        <w:ind w:left="0" w:right="0" w:hanging="0"/>
        <w:jc w:val="both"/>
        <w:rPr>
          <w:rFonts w:ascii="Times New Roman;Times;serif" w:hAnsi="Times New Roman;Times;serif"/>
          <w:i/>
          <w:sz w:val="20"/>
        </w:rPr>
      </w:pPr>
      <w:r>
        <w:rPr>
          <w:rFonts w:ascii="Times New Roman;Times;serif" w:hAnsi="Times New Roman;Times;serif"/>
          <w:i/>
          <w:sz w:val="20"/>
        </w:rPr>
        <w:t>Total other income</w:t>
      </w:r>
    </w:p>
    <w:p>
      <w:pPr>
        <w:pStyle w:val="TextBody"/>
        <w:bidi w:val="0"/>
        <w:spacing w:lineRule="auto" w:line="285" w:before="160" w:after="160"/>
        <w:ind w:left="0" w:right="0" w:hanging="0"/>
        <w:jc w:val="both"/>
        <w:rPr>
          <w:rFonts w:ascii="Times New Roman;Times;serif" w:hAnsi="Times New Roman;Times;serif"/>
          <w:sz w:val="20"/>
        </w:rPr>
      </w:pPr>
      <w:r>
        <w:rPr>
          <w:rFonts w:ascii="Times New Roman;Times;serif" w:hAnsi="Times New Roman;Times;serif"/>
          <w:sz w:val="20"/>
        </w:rPr>
        <w:t xml:space="preserve">Our total other income for the </w:t>
      </w:r>
      <w:r>
        <w:rPr>
          <w:rFonts w:ascii="Times New Roman;Times;serif" w:hAnsi="Times New Roman;Times;serif"/>
          <w:sz w:val="20"/>
          <w:shd w:fill="FFFFFF" w:val="clear"/>
        </w:rPr>
        <w:t xml:space="preserve">six months ended </w:t>
      </w:r>
      <w:r>
        <w:rPr>
          <w:rFonts w:ascii="Times New Roman;Times;serif" w:hAnsi="Times New Roman;Times;serif"/>
          <w:sz w:val="20"/>
        </w:rPr>
        <w:t>June 30, 2026</w:t>
      </w:r>
      <w:r>
        <w:rPr>
          <w:rFonts w:ascii="Times New Roman;Times;serif" w:hAnsi="Times New Roman;Times;serif"/>
          <w:sz w:val="20"/>
          <w:shd w:fill="FFFFFF" w:val="clear"/>
        </w:rPr>
        <w:t xml:space="preserve"> was $0.3 million, a decrease of approximately $0.3 million, or 48.0%, compared to t</w:t>
      </w:r>
      <w:r>
        <w:rPr>
          <w:rFonts w:ascii="Times New Roman;Times;serif" w:hAnsi="Times New Roman;Times;serif"/>
          <w:sz w:val="20"/>
        </w:rPr>
        <w:t>he corresponding period in 2025. This decrease was attributable to (i) approximately $0.1 million in lower gain from change in fair value of warrant liabilities due to the impact of our common stock’s decline in stock price and (ii) approximately $0.1 million in lower interest income, net, due to lower balances of cash and cash equivalents and lower interest rates.</w:t>
      </w:r>
    </w:p>
    <w:p>
      <w:pPr>
        <w:pStyle w:val="TextBody"/>
        <w:bidi w:val="0"/>
        <w:spacing w:lineRule="auto" w:line="285" w:before="160" w:after="160"/>
        <w:ind w:left="0" w:right="0" w:hanging="0"/>
        <w:jc w:val="both"/>
        <w:rPr>
          <w:rFonts w:ascii="Times New Roman;Times;serif" w:hAnsi="Times New Roman;Times;serif"/>
          <w:i/>
          <w:sz w:val="20"/>
        </w:rPr>
      </w:pPr>
      <w:r>
        <w:rPr>
          <w:rFonts w:ascii="Times New Roman;Times;serif" w:hAnsi="Times New Roman;Times;serif"/>
          <w:i/>
          <w:sz w:val="20"/>
        </w:rPr>
        <w:t>Provision for income taxes</w:t>
      </w:r>
    </w:p>
    <w:p>
      <w:pPr>
        <w:pStyle w:val="TextBody"/>
        <w:bidi w:val="0"/>
        <w:spacing w:lineRule="auto" w:line="285" w:before="160" w:after="160"/>
        <w:ind w:left="0" w:right="0" w:hanging="0"/>
        <w:jc w:val="both"/>
        <w:rPr>
          <w:rFonts w:ascii="Times New Roman;Times;serif" w:hAnsi="Times New Roman;Times;serif"/>
          <w:sz w:val="20"/>
        </w:rPr>
      </w:pPr>
      <w:r>
        <w:rPr>
          <w:rFonts w:ascii="Times New Roman;Times;serif" w:hAnsi="Times New Roman;Times;serif"/>
          <w:sz w:val="20"/>
        </w:rPr>
        <w:t xml:space="preserve">Our provision for income taxes and effective tax rate for the </w:t>
      </w:r>
      <w:r>
        <w:rPr>
          <w:rFonts w:ascii="Times New Roman;Times;serif" w:hAnsi="Times New Roman;Times;serif"/>
          <w:sz w:val="20"/>
          <w:shd w:fill="FFFFFF" w:val="clear"/>
        </w:rPr>
        <w:t xml:space="preserve">six months ended </w:t>
      </w:r>
      <w:r>
        <w:rPr>
          <w:rFonts w:ascii="Times New Roman;Times;serif" w:hAnsi="Times New Roman;Times;serif"/>
          <w:sz w:val="20"/>
        </w:rPr>
        <w:t>June 30, 2026</w:t>
      </w:r>
      <w:r>
        <w:rPr>
          <w:rFonts w:ascii="Times New Roman;Times;serif" w:hAnsi="Times New Roman;Times;serif"/>
          <w:sz w:val="20"/>
          <w:shd w:fill="FFFFFF" w:val="clear"/>
        </w:rPr>
        <w:t xml:space="preserve"> and 2025</w:t>
      </w:r>
      <w:r>
        <w:rPr>
          <w:rFonts w:ascii="Times New Roman;Times;serif" w:hAnsi="Times New Roman;Times;serif"/>
          <w:sz w:val="20"/>
        </w:rPr>
        <w:t xml:space="preserve"> were zero as we have recorded a full valuation allowance for the income tax benefits attributable to our pre-tax losses.</w:t>
      </w:r>
    </w:p>
    <w:p>
      <w:pPr>
        <w:pStyle w:val="TextBody"/>
        <w:bidi w:val="0"/>
        <w:spacing w:lineRule="auto" w:line="285" w:before="160" w:after="160"/>
        <w:ind w:left="0" w:right="0" w:hanging="0"/>
        <w:jc w:val="both"/>
        <w:rPr>
          <w:rFonts w:ascii="Times New Roman;Times;serif" w:hAnsi="Times New Roman;Times;serif"/>
          <w:i/>
          <w:sz w:val="20"/>
        </w:rPr>
      </w:pPr>
      <w:r>
        <w:rPr>
          <w:rFonts w:ascii="Times New Roman;Times;serif" w:hAnsi="Times New Roman;Times;serif"/>
          <w:i/>
          <w:sz w:val="20"/>
        </w:rPr>
        <w:t>Net loss</w:t>
      </w:r>
    </w:p>
    <w:p>
      <w:pPr>
        <w:pStyle w:val="TextBody"/>
        <w:pBdr/>
        <w:bidi w:val="0"/>
        <w:spacing w:lineRule="auto" w:line="285" w:before="160" w:after="0"/>
        <w:ind w:left="0" w:right="0" w:hanging="0"/>
        <w:jc w:val="both"/>
        <w:rPr>
          <w:rFonts w:ascii="Times New Roman;Times;serif" w:hAnsi="Times New Roman;Times;serif"/>
          <w:sz w:val="20"/>
        </w:rPr>
      </w:pPr>
      <w:r>
        <w:rPr>
          <w:rFonts w:ascii="Times New Roman;Times;serif" w:hAnsi="Times New Roman;Times;serif"/>
          <w:sz w:val="20"/>
        </w:rPr>
        <w:t xml:space="preserve">For the six months ended June 30, 2026, we had a net loss of $9.1 million, or $1.69 per share of basic and diluted common stock, compared to a net loss of $7.7 million, or $6.59 per share of basic and diluted common stock for </w:t>
      </w:r>
      <w:r>
        <w:rPr>
          <w:rFonts w:ascii="Times New Roman;Times;serif" w:hAnsi="Times New Roman;Times;serif"/>
          <w:sz w:val="20"/>
          <w:shd w:fill="FFFFFF" w:val="clear"/>
        </w:rPr>
        <w:t>t</w:t>
      </w:r>
      <w:r>
        <w:rPr>
          <w:rFonts w:ascii="Times New Roman;Times;serif" w:hAnsi="Times New Roman;Times;serif"/>
          <w:sz w:val="20"/>
        </w:rPr>
        <w:t>he corresponding period</w:t>
      </w:r>
      <w:r>
        <w:rPr>
          <w:rFonts w:ascii="Times New Roman;Times;serif" w:hAnsi="Times New Roman;Times;serif"/>
          <w:sz w:val="20"/>
          <w:shd w:fill="FFFFFF" w:val="clear"/>
        </w:rPr>
        <w:t xml:space="preserve"> in 2025</w:t>
      </w:r>
      <w:r>
        <w:rPr>
          <w:rFonts w:ascii="Times New Roman;Times;serif" w:hAnsi="Times New Roman;Times;serif"/>
          <w:sz w:val="20"/>
        </w:rPr>
        <w:t>, primarily due to the factors described above.</w:t>
      </w:r>
    </w:p>
    <w:p>
      <w:pPr>
        <w:pStyle w:val="TextBody"/>
        <w:shd w:fill="FFFFFF" w:val="clear"/>
        <w:bidi w:val="0"/>
        <w:spacing w:lineRule="auto" w:line="285" w:before="0" w:after="160"/>
        <w:ind w:left="0" w:right="0" w:hanging="0"/>
        <w:jc w:val="both"/>
        <w:rPr>
          <w:rFonts w:ascii="Times New Roman;Times;serif" w:hAnsi="Times New Roman;Times;serif"/>
          <w:b/>
          <w:sz w:val="20"/>
        </w:rPr>
      </w:pPr>
      <w:r>
        <w:rPr>
          <w:rFonts w:ascii="Times New Roman;Times;serif" w:hAnsi="Times New Roman;Times;serif"/>
          <w:b/>
          <w:sz w:val="20"/>
        </w:rPr>
        <w:t>Going concern</w:t>
      </w:r>
    </w:p>
    <w:p>
      <w:pPr>
        <w:pStyle w:val="TextBody"/>
        <w:bidi w:val="0"/>
        <w:spacing w:lineRule="auto" w:line="285" w:before="0" w:after="160"/>
        <w:ind w:left="0" w:right="0" w:hanging="0"/>
        <w:jc w:val="both"/>
        <w:rPr>
          <w:rFonts w:ascii="Times New Roman;Times;serif" w:hAnsi="Times New Roman;Times;serif"/>
          <w:sz w:val="20"/>
          <w:shd w:fill="FFFFFF" w:val="clear"/>
        </w:rPr>
      </w:pPr>
      <w:r>
        <w:rPr>
          <w:rFonts w:ascii="Times New Roman;Times;serif" w:hAnsi="Times New Roman;Times;serif"/>
          <w:sz w:val="20"/>
          <w:shd w:fill="FFFFFF" w:val="clear"/>
        </w:rPr>
        <w:t>As reflected in the unaudited condensed consolidated financial statements, we had $12.6 million in cash and cash equivalents as of June 30, 2026. We have experienced net losses and negative cash flows from operating activities since our inception and had an accumulated deficit of $158.0 million as of June 30, 2026. We have incurred a net loss of $9.1 million and net cash used in operating activities of $8.0 million for the six months ended June 30, 2026. Due in large part to the ongoing clinical trials, we expect to continue to incur net losses and negative cash flows from operating activities for the foreseeable future. These conditions raise substantial doubt about our ability to continue as a going concern within one year from the issuance of these unaudited condensed consolidated financial statements.</w:t>
      </w:r>
    </w:p>
    <w:p>
      <w:pPr>
        <w:pStyle w:val="TextBody"/>
        <w:bidi w:val="0"/>
        <w:spacing w:lineRule="auto" w:line="285" w:before="0" w:after="0"/>
        <w:ind w:left="0" w:right="0" w:hanging="0"/>
        <w:jc w:val="both"/>
        <w:rPr>
          <w:rFonts w:ascii="Times New Roman;Times;serif" w:hAnsi="Times New Roman;Times;serif"/>
          <w:sz w:val="20"/>
        </w:rPr>
      </w:pPr>
      <w:bookmarkStart w:id="808" w:name="_Hlk212456534"/>
      <w:bookmarkEnd w:id="808"/>
      <w:r>
        <w:rPr>
          <w:rFonts w:ascii="Times New Roman;Times;serif" w:hAnsi="Times New Roman;Times;serif"/>
          <w:sz w:val="20"/>
          <w:shd w:fill="FFFFFF" w:val="clear"/>
        </w:rPr>
        <w:t xml:space="preserve">We plan to continue to fund our operations from equity offerings, debt financing, </w:t>
      </w:r>
      <w:r>
        <w:rPr>
          <w:rFonts w:ascii="Times New Roman;Times;serif" w:hAnsi="Times New Roman;Times;serif"/>
          <w:color w:val="212529"/>
          <w:sz w:val="20"/>
          <w:shd w:fill="FFFFFF" w:val="clear"/>
        </w:rPr>
        <w:t xml:space="preserve">exercise of existing warrants, </w:t>
      </w:r>
      <w:r>
        <w:rPr>
          <w:rFonts w:ascii="Times New Roman;Times;serif" w:hAnsi="Times New Roman;Times;serif"/>
          <w:sz w:val="20"/>
          <w:shd w:fill="FFFFFF" w:val="clear"/>
        </w:rPr>
        <w:t xml:space="preserve">or other sources, </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22</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MetaVia Inc.</w:t>
      </w:r>
    </w:p>
    <w:p>
      <w:pPr>
        <w:pStyle w:val="TextBody"/>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Form 10-Q</w:t>
      </w:r>
    </w:p>
    <w:p>
      <w:pPr>
        <w:pStyle w:val="TextBody"/>
        <w:bidi w:val="0"/>
        <w:spacing w:lineRule="auto" w:line="285" w:before="0" w:after="0"/>
        <w:ind w:left="0" w:right="0" w:hanging="0"/>
        <w:jc w:val="center"/>
        <w:rPr/>
      </w:pPr>
      <w:r>
        <w:rPr/>
        <w:t>​</w:t>
      </w:r>
    </w:p>
    <w:p>
      <w:pPr>
        <w:pStyle w:val="TextBody"/>
        <w:bidi w:val="0"/>
        <w:spacing w:lineRule="auto" w:line="285" w:before="0" w:after="160"/>
        <w:ind w:left="0" w:right="0" w:hanging="0"/>
        <w:jc w:val="both"/>
        <w:rPr>
          <w:rFonts w:ascii="Times New Roman;Times;serif" w:hAnsi="Times New Roman;Times;serif"/>
          <w:sz w:val="20"/>
        </w:rPr>
      </w:pPr>
      <w:r>
        <w:rPr>
          <w:rFonts w:ascii="Times New Roman;Times;serif" w:hAnsi="Times New Roman;Times;serif"/>
          <w:sz w:val="20"/>
          <w:shd w:fill="FFFFFF" w:val="clear"/>
        </w:rPr>
        <w:t xml:space="preserve">potentially including collaborations, out-licensing and other similar arrangements. However, there can be no assurance that we will be able to obtain any sources of financing on acceptable terms, or at all, </w:t>
      </w:r>
      <w:r>
        <w:rPr>
          <w:rFonts w:ascii="Times New Roman;Times;serif" w:hAnsi="Times New Roman;Times;serif"/>
          <w:color w:val="212529"/>
          <w:sz w:val="20"/>
          <w:shd w:fill="FFFFFF" w:val="clear"/>
        </w:rPr>
        <w:t>or that the warrants issued in previously consummated offerings will be exercised.</w:t>
      </w:r>
      <w:r>
        <w:rPr>
          <w:rFonts w:ascii="Times New Roman;Times;serif" w:hAnsi="Times New Roman;Times;serif"/>
          <w:sz w:val="20"/>
          <w:shd w:fill="FFFFFF" w:val="clear"/>
        </w:rPr>
        <w:t xml:space="preserve"> To the extent that we can raise additional funds by issuing equity securities or in the event our remaining warrants are exercised, our stockholders may experience significant dilution. Any debt financing, if available, may involve restrictive covenants that impact our ability to conduct our business. If we are unable to raise additional capital, we may slow down or stop our ongoing and planned clinical trials until such time as additional capital is raised and this may have a material adverse effect on us. </w:t>
      </w:r>
    </w:p>
    <w:p>
      <w:pPr>
        <w:pStyle w:val="TextBody"/>
        <w:bidi w:val="0"/>
        <w:spacing w:lineRule="auto" w:line="285" w:before="0" w:after="160"/>
        <w:ind w:left="0" w:right="0" w:hanging="0"/>
        <w:jc w:val="both"/>
        <w:rPr>
          <w:rFonts w:ascii="Times New Roman;Times;serif" w:hAnsi="Times New Roman;Times;serif"/>
          <w:sz w:val="20"/>
          <w:shd w:fill="FFFFFF" w:val="clear"/>
        </w:rPr>
      </w:pPr>
      <w:r>
        <w:rPr>
          <w:rFonts w:ascii="Times New Roman;Times;serif" w:hAnsi="Times New Roman;Times;serif"/>
          <w:sz w:val="20"/>
          <w:shd w:fill="FFFFFF" w:val="clear"/>
        </w:rPr>
        <w:t>The determination as to whether we can continue as a going concern contemplates the realization of assets and the satisfaction of liabilities in the normal course of business. Our unaudited condensed consolidated financial statements have been prepared assuming that we will continue as a going concern and do not include any adjustments that might result from the outcome of this uncertainty. This basis of accounting contemplates the recovery of our assets and the satisfaction of our liabilities in the normal course of business.</w:t>
      </w:r>
    </w:p>
    <w:p>
      <w:pPr>
        <w:pStyle w:val="TextBody"/>
        <w:bidi w:val="0"/>
        <w:spacing w:lineRule="auto" w:line="285" w:before="160" w:after="160"/>
        <w:ind w:left="0" w:right="0" w:hanging="0"/>
        <w:jc w:val="both"/>
        <w:rPr>
          <w:rFonts w:ascii="Times New Roman;Times;serif" w:hAnsi="Times New Roman;Times;serif"/>
          <w:b/>
          <w:sz w:val="20"/>
        </w:rPr>
      </w:pPr>
      <w:r>
        <w:rPr>
          <w:rFonts w:ascii="Times New Roman;Times;serif" w:hAnsi="Times New Roman;Times;serif"/>
          <w:b/>
          <w:sz w:val="20"/>
        </w:rPr>
        <w:t>Liquidity and capital resources</w:t>
      </w:r>
    </w:p>
    <w:p>
      <w:pPr>
        <w:pStyle w:val="TextBody"/>
        <w:pBdr/>
        <w:bidi w:val="0"/>
        <w:spacing w:lineRule="auto" w:line="285" w:before="0" w:after="0"/>
        <w:ind w:left="0" w:right="0" w:hanging="0"/>
        <w:jc w:val="both"/>
        <w:rPr>
          <w:rFonts w:ascii="Times New Roman;Times;serif" w:hAnsi="Times New Roman;Times;serif"/>
          <w:sz w:val="20"/>
        </w:rPr>
      </w:pPr>
      <w:r>
        <w:rPr>
          <w:rFonts w:ascii="Times New Roman;Times;serif" w:hAnsi="Times New Roman;Times;serif"/>
          <w:sz w:val="20"/>
        </w:rPr>
        <w:t>Our primary use of cash is to fund our R&amp;D activities. We have funded our operations primarily through public offerings of our common stock and private placements of equity and convertible securities. As of June 30, 2026, we had cash and cash equivalents totaling $12.6 million. We maintain cash and cash equivalents at a financial institution that at times may exceed the Federal Deposit Insurance Corporation insured limits of $0.25 million per bank. To date, we have not experienced any losses related to these funds. Our cash equivalents consist principally of bank money market accounts and these securities are carried at cost, which approximates market value.</w:t>
      </w:r>
    </w:p>
    <w:p>
      <w:pPr>
        <w:pStyle w:val="TextBody"/>
        <w:shd w:fill="FFFFFF" w:val="clear"/>
        <w:bidi w:val="0"/>
        <w:spacing w:lineRule="auto" w:line="285" w:before="0" w:after="160"/>
        <w:ind w:left="0" w:right="0" w:hanging="0"/>
        <w:jc w:val="both"/>
        <w:rPr>
          <w:rFonts w:ascii="Times New Roman;Times;serif" w:hAnsi="Times New Roman;Times;serif"/>
          <w:i/>
          <w:color w:val="212529"/>
          <w:sz w:val="20"/>
        </w:rPr>
      </w:pPr>
      <w:r>
        <w:rPr>
          <w:rFonts w:ascii="Times New Roman;Times;serif" w:hAnsi="Times New Roman;Times;serif"/>
          <w:i/>
          <w:color w:val="212529"/>
          <w:sz w:val="20"/>
        </w:rPr>
        <w:t>Public offering</w:t>
      </w:r>
    </w:p>
    <w:p>
      <w:pPr>
        <w:pStyle w:val="TextBody"/>
        <w:bidi w:val="0"/>
        <w:spacing w:lineRule="auto" w:line="285" w:before="160" w:after="160"/>
        <w:ind w:left="0" w:right="0" w:hanging="0"/>
        <w:jc w:val="both"/>
        <w:rPr>
          <w:rFonts w:ascii="Times New Roman;Times;serif" w:hAnsi="Times New Roman;Times;serif"/>
          <w:sz w:val="20"/>
        </w:rPr>
      </w:pPr>
      <w:r>
        <w:rPr>
          <w:rFonts w:ascii="Times New Roman;Times;serif" w:hAnsi="Times New Roman;Times;serif"/>
          <w:sz w:val="20"/>
        </w:rPr>
        <w:t xml:space="preserve">In January 2026, we closed on an underwritten public offering and received net proceeds of $7.1 million, pursuant to which we issued and sold, (i) 1,006,870 Class A Units, with each Class A Unit consisting of (A) one share of common stock, (B) 1.5 Series C Common Warrants to purchase 1.5 shares of common stock, and (C) 1.5 Series D Common Warrants to purchase 1.5 shares of common stock, at a price of $3.10 per Class A Unit, and (ii) 1,998,704 Class B Units, with each Class B Unit consisting of (A) one pre-funded warrant to purchase one share of common stock, (B) 1.5 Series C Common Warrants to purchase 1.5 shares of common stock, and (C) 1.5 Series D Common Warrants to purchase 1.5 shares of common stock, at a purchase price of $3.099 per Class B Unit. </w:t>
      </w:r>
    </w:p>
    <w:p>
      <w:pPr>
        <w:pStyle w:val="TextBody"/>
        <w:bidi w:val="0"/>
        <w:spacing w:lineRule="auto" w:line="285" w:before="160" w:after="160"/>
        <w:ind w:left="0" w:right="0" w:hanging="0"/>
        <w:jc w:val="both"/>
        <w:rPr>
          <w:rFonts w:ascii="Times New Roman;Times;serif" w:hAnsi="Times New Roman;Times;serif"/>
          <w:sz w:val="20"/>
        </w:rPr>
      </w:pPr>
      <w:r>
        <w:rPr>
          <w:rFonts w:ascii="Times New Roman;Times;serif" w:hAnsi="Times New Roman;Times;serif"/>
          <w:sz w:val="20"/>
        </w:rPr>
        <w:t xml:space="preserve">Each pre-funded warrant has an exercise price of $0.001 per share and is immediately exercisable and will expire when exercised in full. Each Series C Common Warrant and Series D Common Warrant has an exercise price of $3.10 per whole share of common stock, subject to certain adjustments, are immediately exercisable, and will expire on January 16, 2031 and January 16, 2028, respectively. Under the Series C Common Warrant and the Series D Common Warrant, we may not affect the exercise of any such warrants, and a holder will not be entitled to exercise any portion of any such warrants, which, upon giving effect to such exercise, would cause the aggregate number of shares of common stock beneficially owned by the holder (together with its affiliates) to exceed the beneficial ownership limitation contained therein. The Series D Common Warrants are callable at our option following the release of a positive data readout for our Phase 1, Part 3 clinical trial for DA-1726 via a widely disseminated press release, subject to the satisfaction of certain conditions. The Series C Common Warrants and Series D Common Warrants are fixed priced and do not contain any variable pricing features or alternative exercise provisions. </w:t>
      </w:r>
    </w:p>
    <w:p>
      <w:pPr>
        <w:pStyle w:val="TextBody"/>
        <w:bidi w:val="0"/>
        <w:spacing w:lineRule="auto" w:line="285" w:before="0" w:after="160"/>
        <w:ind w:left="0" w:right="0" w:hanging="0"/>
        <w:jc w:val="left"/>
        <w:rPr>
          <w:rFonts w:ascii="Times New Roman;Times;serif" w:hAnsi="Times New Roman;Times;serif"/>
          <w:sz w:val="20"/>
        </w:rPr>
      </w:pPr>
      <w:r>
        <w:rPr>
          <w:rFonts w:ascii="Times New Roman;Times;serif" w:hAnsi="Times New Roman;Times;serif"/>
          <w:sz w:val="20"/>
        </w:rPr>
        <w:t>The following table provides information on the warrants exercised during the three and six months ended June 30, 2026:</w:t>
      </w:r>
    </w:p>
    <w:tbl>
      <w:tblPr>
        <w:tblW w:w="4901" w:type="dxa"/>
        <w:jc w:val="left"/>
        <w:tblInd w:w="0" w:type="dxa"/>
        <w:tblLayout w:type="fixed"/>
        <w:tblCellMar>
          <w:top w:w="0" w:type="dxa"/>
          <w:left w:w="0" w:type="dxa"/>
          <w:bottom w:w="0" w:type="dxa"/>
          <w:right w:w="0" w:type="dxa"/>
        </w:tblCellMar>
      </w:tblPr>
      <w:tblGrid>
        <w:gridCol w:w="2146"/>
        <w:gridCol w:w="109"/>
        <w:gridCol w:w="1246"/>
        <w:gridCol w:w="109"/>
        <w:gridCol w:w="1291"/>
      </w:tblGrid>
      <w:tr>
        <w:trPr/>
        <w:tc>
          <w:tcPr>
            <w:tcW w:w="2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8">
                      <wp:simplePos x="0" y="0"/>
                      <wp:positionH relativeFrom="character">
                        <wp:align>left</wp:align>
                      </wp:positionH>
                      <wp:positionV relativeFrom="line">
                        <wp:posOffset>635</wp:posOffset>
                      </wp:positionV>
                      <wp:extent cx="1362710" cy="175260"/>
                      <wp:effectExtent l="0" t="0" r="0" b="0"/>
                      <wp:wrapNone/>
                      <wp:docPr id="197" name="Frame196"/>
                      <a:graphic xmlns:a="http://schemas.openxmlformats.org/drawingml/2006/main">
                        <a:graphicData uri="http://schemas.microsoft.com/office/word/2010/wordprocessingShape">
                          <wps:wsp>
                            <wps:cNvSpPr txBox="1"/>
                            <wps:spPr>
                              <a:xfrm>
                                <a:off x="0" y="0"/>
                                <a:ext cx="13627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9">
                      <wp:simplePos x="0" y="0"/>
                      <wp:positionH relativeFrom="character">
                        <wp:align>left</wp:align>
                      </wp:positionH>
                      <wp:positionV relativeFrom="line">
                        <wp:posOffset>635</wp:posOffset>
                      </wp:positionV>
                      <wp:extent cx="69215" cy="175260"/>
                      <wp:effectExtent l="0" t="0" r="0" b="0"/>
                      <wp:wrapNone/>
                      <wp:docPr id="198" name="Frame19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2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0">
                      <wp:simplePos x="0" y="0"/>
                      <wp:positionH relativeFrom="character">
                        <wp:align>left</wp:align>
                      </wp:positionH>
                      <wp:positionV relativeFrom="line">
                        <wp:posOffset>635</wp:posOffset>
                      </wp:positionV>
                      <wp:extent cx="791210" cy="175260"/>
                      <wp:effectExtent l="0" t="0" r="0" b="0"/>
                      <wp:wrapNone/>
                      <wp:docPr id="199" name="Frame198"/>
                      <a:graphic xmlns:a="http://schemas.openxmlformats.org/drawingml/2006/main">
                        <a:graphicData uri="http://schemas.microsoft.com/office/word/2010/wordprocessingShape">
                          <wps:wsp>
                            <wps:cNvSpPr txBox="1"/>
                            <wps:spPr>
                              <a:xfrm>
                                <a:off x="0" y="0"/>
                                <a:ext cx="7912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1">
                      <wp:simplePos x="0" y="0"/>
                      <wp:positionH relativeFrom="character">
                        <wp:align>left</wp:align>
                      </wp:positionH>
                      <wp:positionV relativeFrom="line">
                        <wp:posOffset>635</wp:posOffset>
                      </wp:positionV>
                      <wp:extent cx="69215" cy="175260"/>
                      <wp:effectExtent l="0" t="0" r="0" b="0"/>
                      <wp:wrapNone/>
                      <wp:docPr id="200" name="Frame199"/>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2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2">
                      <wp:simplePos x="0" y="0"/>
                      <wp:positionH relativeFrom="character">
                        <wp:align>left</wp:align>
                      </wp:positionH>
                      <wp:positionV relativeFrom="line">
                        <wp:posOffset>635</wp:posOffset>
                      </wp:positionV>
                      <wp:extent cx="819785" cy="175260"/>
                      <wp:effectExtent l="0" t="0" r="0" b="0"/>
                      <wp:wrapNone/>
                      <wp:docPr id="201" name="Frame200"/>
                      <a:graphic xmlns:a="http://schemas.openxmlformats.org/drawingml/2006/main">
                        <a:graphicData uri="http://schemas.microsoft.com/office/word/2010/wordprocessingShape">
                          <wps:wsp>
                            <wps:cNvSpPr txBox="1"/>
                            <wps:spPr>
                              <a:xfrm>
                                <a:off x="0" y="0"/>
                                <a:ext cx="8197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r>
      <w:tr>
        <w:trPr/>
        <w:tc>
          <w:tcPr>
            <w:tcW w:w="2146"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1246" w:type="dxa"/>
            <w:tcBorders/>
            <w:vAlign w:val="center"/>
          </w:tcPr>
          <w:p>
            <w:pPr>
              <w:pStyle w:val="TableContents"/>
              <w:bidi w:val="0"/>
              <w:spacing w:lineRule="auto" w:line="285" w:before="1" w:after="1"/>
              <w:ind w:left="0" w:right="0" w:hanging="0"/>
              <w:jc w:val="center"/>
              <w:rPr>
                <w:rFonts w:ascii="Times New Roman;Times;serif" w:hAnsi="Times New Roman;Times;serif"/>
                <w:sz w:val="20"/>
              </w:rPr>
            </w:pPr>
            <w:r>
              <w:rPr>
                <w:rFonts w:ascii="Times New Roman;Times;serif" w:hAnsi="Times New Roman;Times;serif"/>
                <w:sz w:val="20"/>
              </w:rPr>
              <w:t>Three Months</w:t>
            </w:r>
          </w:p>
        </w:tc>
        <w:tc>
          <w:tcPr>
            <w:tcW w:w="109" w:type="dxa"/>
            <w:tcBorders/>
            <w:vAlign w:val="center"/>
          </w:tcPr>
          <w:p>
            <w:pPr>
              <w:pStyle w:val="TableContents"/>
              <w:bidi w:val="0"/>
              <w:spacing w:lineRule="auto" w:line="285" w:before="0" w:after="0"/>
              <w:ind w:left="0" w:right="0" w:hanging="0"/>
              <w:jc w:val="left"/>
              <w:rPr/>
            </w:pPr>
            <w:r>
              <w:rPr/>
              <w:t>​</w:t>
            </w:r>
          </w:p>
        </w:tc>
        <w:tc>
          <w:tcPr>
            <w:tcW w:w="1291" w:type="dxa"/>
            <w:tcBorders/>
            <w:vAlign w:val="center"/>
          </w:tcPr>
          <w:p>
            <w:pPr>
              <w:pStyle w:val="TableContents"/>
              <w:bidi w:val="0"/>
              <w:spacing w:lineRule="auto" w:line="285" w:before="1" w:after="1"/>
              <w:ind w:left="0" w:right="0" w:hanging="0"/>
              <w:jc w:val="center"/>
              <w:rPr>
                <w:rFonts w:ascii="Times New Roman;Times;serif" w:hAnsi="Times New Roman;Times;serif"/>
                <w:sz w:val="20"/>
              </w:rPr>
            </w:pPr>
            <w:r>
              <w:rPr>
                <w:rFonts w:ascii="Times New Roman;Times;serif" w:hAnsi="Times New Roman;Times;serif"/>
                <w:sz w:val="20"/>
              </w:rPr>
              <w:t>Six Months</w:t>
            </w:r>
          </w:p>
        </w:tc>
      </w:tr>
      <w:tr>
        <w:trPr/>
        <w:tc>
          <w:tcPr>
            <w:tcW w:w="2146"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1246" w:type="dxa"/>
            <w:tcBorders/>
            <w:vAlign w:val="center"/>
          </w:tcPr>
          <w:p>
            <w:pPr>
              <w:pStyle w:val="TableContents"/>
              <w:bidi w:val="0"/>
              <w:spacing w:lineRule="auto" w:line="285" w:before="1" w:after="1"/>
              <w:ind w:left="0" w:right="0" w:hanging="0"/>
              <w:jc w:val="center"/>
              <w:rPr>
                <w:rFonts w:ascii="Times New Roman;Times;serif" w:hAnsi="Times New Roman;Times;serif"/>
                <w:sz w:val="20"/>
              </w:rPr>
            </w:pPr>
            <w:r>
              <w:rPr>
                <w:rFonts w:ascii="Times New Roman;Times;serif" w:hAnsi="Times New Roman;Times;serif"/>
                <w:sz w:val="20"/>
              </w:rPr>
              <w:t xml:space="preserve">Ended </w:t>
            </w:r>
          </w:p>
        </w:tc>
        <w:tc>
          <w:tcPr>
            <w:tcW w:w="109" w:type="dxa"/>
            <w:tcBorders/>
            <w:vAlign w:val="center"/>
          </w:tcPr>
          <w:p>
            <w:pPr>
              <w:pStyle w:val="TableContents"/>
              <w:bidi w:val="0"/>
              <w:spacing w:lineRule="auto" w:line="285" w:before="0" w:after="0"/>
              <w:ind w:left="0" w:right="0" w:hanging="0"/>
              <w:jc w:val="left"/>
              <w:rPr/>
            </w:pPr>
            <w:r>
              <w:rPr/>
              <w:t>​</w:t>
            </w:r>
          </w:p>
        </w:tc>
        <w:tc>
          <w:tcPr>
            <w:tcW w:w="1291" w:type="dxa"/>
            <w:tcBorders/>
            <w:vAlign w:val="center"/>
          </w:tcPr>
          <w:p>
            <w:pPr>
              <w:pStyle w:val="TableContents"/>
              <w:bidi w:val="0"/>
              <w:spacing w:lineRule="auto" w:line="285" w:before="1" w:after="1"/>
              <w:ind w:left="0" w:right="0" w:hanging="0"/>
              <w:jc w:val="center"/>
              <w:rPr>
                <w:rFonts w:ascii="Times New Roman;Times;serif" w:hAnsi="Times New Roman;Times;serif"/>
                <w:sz w:val="20"/>
              </w:rPr>
            </w:pPr>
            <w:r>
              <w:rPr>
                <w:rFonts w:ascii="Times New Roman;Times;serif" w:hAnsi="Times New Roman;Times;serif"/>
                <w:sz w:val="20"/>
              </w:rPr>
              <w:t xml:space="preserve">Ended </w:t>
            </w:r>
          </w:p>
        </w:tc>
      </w:tr>
      <w:tr>
        <w:trPr/>
        <w:tc>
          <w:tcPr>
            <w:tcW w:w="2146" w:type="dxa"/>
            <w:tcBorders>
              <w:bottom w:val="single" w:sz="2" w:space="0" w:color="000000"/>
            </w:tcBorders>
            <w:tcMar>
              <w:bottom w:w="28" w:type="dxa"/>
            </w:tcMar>
            <w:vAlign w:val="center"/>
          </w:tcPr>
          <w:p>
            <w:pPr>
              <w:pStyle w:val="TableContents"/>
              <w:bidi w:val="0"/>
              <w:spacing w:lineRule="auto" w:line="285" w:before="1" w:after="1"/>
              <w:ind w:left="0" w:right="0" w:hanging="0"/>
              <w:jc w:val="left"/>
              <w:rPr>
                <w:rFonts w:ascii="Times New Roman;Times;serif" w:hAnsi="Times New Roman;Times;serif"/>
                <w:sz w:val="20"/>
              </w:rPr>
            </w:pPr>
            <w:r>
              <w:rPr>
                <w:rFonts w:ascii="Times New Roman;Times;serif" w:hAnsi="Times New Roman;Times;serif"/>
                <w:sz w:val="20"/>
              </w:rPr>
              <w:t>Warrant Issuance</w:t>
            </w:r>
          </w:p>
        </w:tc>
        <w:tc>
          <w:tcPr>
            <w:tcW w:w="109" w:type="dxa"/>
            <w:tcBorders>
              <w:bottom w:val="single" w:sz="2" w:space="0" w:color="000000"/>
            </w:tcBorders>
            <w:tcMar>
              <w:bottom w:w="28" w:type="dxa"/>
            </w:tcMar>
            <w:vAlign w:val="center"/>
          </w:tcPr>
          <w:p>
            <w:pPr>
              <w:pStyle w:val="TableContents"/>
              <w:bidi w:val="0"/>
              <w:spacing w:lineRule="auto" w:line="285" w:before="0" w:after="0"/>
              <w:ind w:left="0" w:right="0" w:hanging="0"/>
              <w:jc w:val="center"/>
              <w:rPr/>
            </w:pPr>
            <w:r>
              <w:rPr/>
              <w:t>​</w:t>
            </w:r>
          </w:p>
        </w:tc>
        <w:tc>
          <w:tcPr>
            <w:tcW w:w="1246" w:type="dxa"/>
            <w:tcBorders>
              <w:bottom w:val="single" w:sz="2" w:space="0" w:color="000000"/>
            </w:tcBorders>
            <w:tcMar>
              <w:bottom w:w="28" w:type="dxa"/>
            </w:tcMar>
            <w:vAlign w:val="center"/>
          </w:tcPr>
          <w:p>
            <w:pPr>
              <w:pStyle w:val="TableContents"/>
              <w:bidi w:val="0"/>
              <w:spacing w:lineRule="auto" w:line="285" w:before="1" w:after="1"/>
              <w:ind w:left="0" w:right="0" w:hanging="0"/>
              <w:jc w:val="center"/>
              <w:rPr>
                <w:rFonts w:ascii="Times New Roman;Times;serif" w:hAnsi="Times New Roman;Times;serif"/>
                <w:sz w:val="20"/>
              </w:rPr>
            </w:pPr>
            <w:r>
              <w:rPr>
                <w:rFonts w:ascii="Times New Roman;Times;serif" w:hAnsi="Times New Roman;Times;serif"/>
                <w:sz w:val="20"/>
              </w:rPr>
              <w:t>June 30, 2026</w:t>
            </w:r>
          </w:p>
        </w:tc>
        <w:tc>
          <w:tcPr>
            <w:tcW w:w="109"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1291" w:type="dxa"/>
            <w:tcBorders>
              <w:bottom w:val="single" w:sz="2" w:space="0" w:color="000000"/>
            </w:tcBorders>
            <w:tcMar>
              <w:bottom w:w="28" w:type="dxa"/>
            </w:tcMar>
            <w:vAlign w:val="center"/>
          </w:tcPr>
          <w:p>
            <w:pPr>
              <w:pStyle w:val="TableContents"/>
              <w:bidi w:val="0"/>
              <w:spacing w:lineRule="auto" w:line="285" w:before="1" w:after="1"/>
              <w:ind w:left="0" w:right="0" w:hanging="0"/>
              <w:jc w:val="center"/>
              <w:rPr>
                <w:rFonts w:ascii="Times New Roman;Times;serif" w:hAnsi="Times New Roman;Times;serif"/>
                <w:sz w:val="20"/>
              </w:rPr>
            </w:pPr>
            <w:r>
              <w:rPr>
                <w:rFonts w:ascii="Times New Roman;Times;serif" w:hAnsi="Times New Roman;Times;serif"/>
                <w:sz w:val="20"/>
              </w:rPr>
              <w:t>June 30, 2026</w:t>
            </w:r>
          </w:p>
        </w:tc>
      </w:tr>
      <w:tr>
        <w:trPr/>
        <w:tc>
          <w:tcPr>
            <w:tcW w:w="2146" w:type="dxa"/>
            <w:tcBorders/>
            <w:shd w:fill="CCEEFF" w:val="clear"/>
            <w:vAlign w:val="center"/>
          </w:tcPr>
          <w:p>
            <w:pPr>
              <w:pStyle w:val="TableContents"/>
              <w:bidi w:val="0"/>
              <w:spacing w:lineRule="auto" w:line="285" w:before="1" w:after="1"/>
              <w:ind w:left="0" w:right="0" w:hanging="0"/>
              <w:jc w:val="left"/>
              <w:rPr>
                <w:rFonts w:ascii="Times New Roman;Times;serif" w:hAnsi="Times New Roman;Times;serif"/>
                <w:sz w:val="20"/>
              </w:rPr>
            </w:pPr>
            <w:r>
              <w:rPr>
                <w:rFonts w:ascii="Times New Roman;Times;serif" w:hAnsi="Times New Roman;Times;serif"/>
                <w:sz w:val="20"/>
              </w:rPr>
              <w:t>January 2026 Pre-funded</w:t>
            </w:r>
          </w:p>
        </w:tc>
        <w:tc>
          <w:tcPr>
            <w:tcW w:w="109" w:type="dxa"/>
            <w:tcBorders/>
            <w:shd w:fill="CCEEFF" w:val="clear"/>
            <w:vAlign w:val="center"/>
          </w:tcPr>
          <w:p>
            <w:pPr>
              <w:pStyle w:val="TableContents"/>
              <w:bidi w:val="0"/>
              <w:spacing w:lineRule="auto" w:line="285" w:before="0" w:after="0"/>
              <w:ind w:left="0" w:right="0" w:hanging="0"/>
              <w:jc w:val="right"/>
              <w:rPr/>
            </w:pPr>
            <w:r>
              <w:rPr/>
              <w:t>​</w:t>
            </w:r>
          </w:p>
        </w:tc>
        <w:tc>
          <w:tcPr>
            <w:tcW w:w="1246" w:type="dxa"/>
            <w:tcBorders/>
            <w:shd w:fill="CCEEFF" w:val="clear"/>
            <w:vAlign w:val="center"/>
          </w:tcPr>
          <w:p>
            <w:pPr>
              <w:pStyle w:val="TableContents"/>
              <w:bidi w:val="0"/>
              <w:spacing w:lineRule="auto" w:line="285" w:before="1" w:after="1"/>
              <w:ind w:left="0" w:right="0" w:hanging="0"/>
              <w:jc w:val="right"/>
              <w:rPr>
                <w:rFonts w:ascii="Times New Roman;Times;serif" w:hAnsi="Times New Roman;Times;serif"/>
                <w:sz w:val="20"/>
              </w:rPr>
            </w:pPr>
            <w:r>
              <w:rPr>
                <w:rFonts w:ascii="Times New Roman;Times;serif" w:hAnsi="Times New Roman;Times;serif"/>
                <w:sz w:val="20"/>
              </w:rPr>
              <w:t>367,740</w:t>
            </w:r>
          </w:p>
        </w:tc>
        <w:tc>
          <w:tcPr>
            <w:tcW w:w="109" w:type="dxa"/>
            <w:tcBorders/>
            <w:shd w:fill="CCEEFF" w:val="clear"/>
            <w:vAlign w:val="center"/>
          </w:tcPr>
          <w:p>
            <w:pPr>
              <w:pStyle w:val="TableContents"/>
              <w:bidi w:val="0"/>
              <w:spacing w:lineRule="auto" w:line="285" w:before="0" w:after="0"/>
              <w:ind w:left="0" w:right="0" w:hanging="0"/>
              <w:jc w:val="right"/>
              <w:rPr/>
            </w:pPr>
            <w:r>
              <w:rPr/>
              <w:t>​</w:t>
            </w:r>
          </w:p>
        </w:tc>
        <w:tc>
          <w:tcPr>
            <w:tcW w:w="1291" w:type="dxa"/>
            <w:tcBorders/>
            <w:shd w:fill="CCEEFF" w:val="clear"/>
            <w:vAlign w:val="center"/>
          </w:tcPr>
          <w:p>
            <w:pPr>
              <w:pStyle w:val="TableContents"/>
              <w:bidi w:val="0"/>
              <w:spacing w:lineRule="auto" w:line="285" w:before="1" w:after="1"/>
              <w:ind w:left="0" w:right="0" w:hanging="0"/>
              <w:jc w:val="right"/>
              <w:rPr>
                <w:rFonts w:ascii="Times New Roman;Times;serif" w:hAnsi="Times New Roman;Times;serif"/>
                <w:sz w:val="20"/>
              </w:rPr>
            </w:pPr>
            <w:r>
              <w:rPr>
                <w:rFonts w:ascii="Times New Roman;Times;serif" w:hAnsi="Times New Roman;Times;serif"/>
                <w:sz w:val="20"/>
              </w:rPr>
              <w:t>1,998,704</w:t>
            </w:r>
          </w:p>
        </w:tc>
      </w:tr>
      <w:tr>
        <w:trPr/>
        <w:tc>
          <w:tcPr>
            <w:tcW w:w="2146" w:type="dxa"/>
            <w:tcBorders/>
            <w:vAlign w:val="center"/>
          </w:tcPr>
          <w:p>
            <w:pPr>
              <w:pStyle w:val="TableContents"/>
              <w:bidi w:val="0"/>
              <w:spacing w:lineRule="auto" w:line="285" w:before="1" w:after="1"/>
              <w:ind w:left="0" w:right="0" w:hanging="0"/>
              <w:jc w:val="left"/>
              <w:rPr>
                <w:rFonts w:ascii="Times New Roman;Times;serif" w:hAnsi="Times New Roman;Times;serif"/>
                <w:sz w:val="20"/>
              </w:rPr>
            </w:pPr>
            <w:r>
              <w:rPr>
                <w:rFonts w:ascii="Times New Roman;Times;serif" w:hAnsi="Times New Roman;Times;serif"/>
                <w:sz w:val="20"/>
              </w:rPr>
              <w:t>January 2026 Series C</w:t>
            </w:r>
          </w:p>
        </w:tc>
        <w:tc>
          <w:tcPr>
            <w:tcW w:w="109" w:type="dxa"/>
            <w:tcBorders/>
            <w:vAlign w:val="center"/>
          </w:tcPr>
          <w:p>
            <w:pPr>
              <w:pStyle w:val="TableContents"/>
              <w:bidi w:val="0"/>
              <w:spacing w:lineRule="auto" w:line="285" w:before="0" w:after="0"/>
              <w:ind w:left="0" w:right="0" w:hanging="0"/>
              <w:jc w:val="right"/>
              <w:rPr/>
            </w:pPr>
            <w:r>
              <w:rPr/>
              <w:t>​</w:t>
            </w:r>
          </w:p>
        </w:tc>
        <w:tc>
          <w:tcPr>
            <w:tcW w:w="1246" w:type="dxa"/>
            <w:tcBorders/>
            <w:vAlign w:val="center"/>
          </w:tcPr>
          <w:p>
            <w:pPr>
              <w:pStyle w:val="TableContents"/>
              <w:bidi w:val="0"/>
              <w:spacing w:lineRule="auto" w:line="285" w:before="1" w:after="1"/>
              <w:ind w:left="0" w:right="0" w:hanging="0"/>
              <w:jc w:val="right"/>
              <w:rPr>
                <w:rFonts w:ascii="Times New Roman;Times;serif" w:hAnsi="Times New Roman;Times;serif"/>
                <w:sz w:val="20"/>
              </w:rPr>
            </w:pPr>
            <w:r>
              <w:rPr>
                <w:rFonts w:ascii="Times New Roman;Times;serif" w:hAnsi="Times New Roman;Times;serif"/>
                <w:sz w:val="20"/>
              </w:rPr>
              <w:t>30,039</w:t>
            </w:r>
          </w:p>
        </w:tc>
        <w:tc>
          <w:tcPr>
            <w:tcW w:w="109" w:type="dxa"/>
            <w:tcBorders/>
            <w:vAlign w:val="center"/>
          </w:tcPr>
          <w:p>
            <w:pPr>
              <w:pStyle w:val="TableContents"/>
              <w:bidi w:val="0"/>
              <w:spacing w:lineRule="auto" w:line="285" w:before="0" w:after="0"/>
              <w:ind w:left="0" w:right="0" w:hanging="0"/>
              <w:jc w:val="right"/>
              <w:rPr/>
            </w:pPr>
            <w:r>
              <w:rPr/>
              <w:t>​</w:t>
            </w:r>
          </w:p>
        </w:tc>
        <w:tc>
          <w:tcPr>
            <w:tcW w:w="1291" w:type="dxa"/>
            <w:tcBorders/>
            <w:vAlign w:val="center"/>
          </w:tcPr>
          <w:p>
            <w:pPr>
              <w:pStyle w:val="TableContents"/>
              <w:bidi w:val="0"/>
              <w:spacing w:lineRule="auto" w:line="285" w:before="1" w:after="1"/>
              <w:ind w:left="0" w:right="0" w:hanging="0"/>
              <w:jc w:val="right"/>
              <w:rPr>
                <w:rFonts w:ascii="Times New Roman;Times;serif" w:hAnsi="Times New Roman;Times;serif"/>
                <w:sz w:val="20"/>
              </w:rPr>
            </w:pPr>
            <w:r>
              <w:rPr>
                <w:rFonts w:ascii="Times New Roman;Times;serif" w:hAnsi="Times New Roman;Times;serif"/>
                <w:sz w:val="20"/>
              </w:rPr>
              <w:t>30,039</w:t>
            </w:r>
          </w:p>
        </w:tc>
      </w:tr>
      <w:tr>
        <w:trPr/>
        <w:tc>
          <w:tcPr>
            <w:tcW w:w="2146" w:type="dxa"/>
            <w:tcBorders>
              <w:bottom w:val="single" w:sz="2" w:space="0" w:color="000000"/>
            </w:tcBorders>
            <w:shd w:fill="CCEEFF" w:val="clear"/>
            <w:tcMar>
              <w:bottom w:w="28" w:type="dxa"/>
            </w:tcMar>
            <w:vAlign w:val="center"/>
          </w:tcPr>
          <w:p>
            <w:pPr>
              <w:pStyle w:val="TableContents"/>
              <w:bidi w:val="0"/>
              <w:spacing w:lineRule="auto" w:line="285" w:before="1" w:after="1"/>
              <w:ind w:left="0" w:right="0" w:hanging="0"/>
              <w:jc w:val="left"/>
              <w:rPr>
                <w:rFonts w:ascii="Times New Roman;Times;serif" w:hAnsi="Times New Roman;Times;serif"/>
                <w:sz w:val="20"/>
              </w:rPr>
            </w:pPr>
            <w:r>
              <w:rPr>
                <w:rFonts w:ascii="Times New Roman;Times;serif" w:hAnsi="Times New Roman;Times;serif"/>
                <w:sz w:val="20"/>
              </w:rPr>
              <w:t>January 2026 Series D</w:t>
            </w:r>
          </w:p>
        </w:tc>
        <w:tc>
          <w:tcPr>
            <w:tcW w:w="109"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pPr>
            <w:r>
              <w:rPr/>
              <w:t>​</w:t>
            </w:r>
          </w:p>
        </w:tc>
        <w:tc>
          <w:tcPr>
            <w:tcW w:w="1246" w:type="dxa"/>
            <w:tcBorders>
              <w:bottom w:val="single" w:sz="2" w:space="0" w:color="000000"/>
            </w:tcBorders>
            <w:shd w:fill="CCEEFF" w:val="clear"/>
            <w:tcMar>
              <w:bottom w:w="28" w:type="dxa"/>
            </w:tcMar>
            <w:vAlign w:val="center"/>
          </w:tcPr>
          <w:p>
            <w:pPr>
              <w:pStyle w:val="TableContents"/>
              <w:bidi w:val="0"/>
              <w:spacing w:lineRule="auto" w:line="285" w:before="1" w:after="1"/>
              <w:ind w:left="0" w:right="0" w:hanging="0"/>
              <w:jc w:val="right"/>
              <w:rPr>
                <w:rFonts w:ascii="Times New Roman;Times;serif" w:hAnsi="Times New Roman;Times;serif"/>
                <w:sz w:val="20"/>
              </w:rPr>
            </w:pPr>
            <w:r>
              <w:rPr>
                <w:rFonts w:ascii="Times New Roman;Times;serif" w:hAnsi="Times New Roman;Times;serif"/>
                <w:sz w:val="20"/>
              </w:rPr>
              <w:t>749,539</w:t>
            </w:r>
          </w:p>
        </w:tc>
        <w:tc>
          <w:tcPr>
            <w:tcW w:w="109"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pPr>
            <w:r>
              <w:rPr/>
              <w:t>​</w:t>
            </w:r>
          </w:p>
        </w:tc>
        <w:tc>
          <w:tcPr>
            <w:tcW w:w="1291" w:type="dxa"/>
            <w:tcBorders>
              <w:bottom w:val="single" w:sz="2" w:space="0" w:color="000000"/>
            </w:tcBorders>
            <w:shd w:fill="CCEEFF" w:val="clear"/>
            <w:tcMar>
              <w:bottom w:w="28" w:type="dxa"/>
            </w:tcMar>
            <w:vAlign w:val="center"/>
          </w:tcPr>
          <w:p>
            <w:pPr>
              <w:pStyle w:val="TableContents"/>
              <w:bidi w:val="0"/>
              <w:spacing w:lineRule="auto" w:line="285" w:before="1" w:after="1"/>
              <w:ind w:left="0" w:right="0" w:hanging="0"/>
              <w:jc w:val="right"/>
              <w:rPr>
                <w:rFonts w:ascii="Times New Roman;Times;serif" w:hAnsi="Times New Roman;Times;serif"/>
                <w:sz w:val="20"/>
              </w:rPr>
            </w:pPr>
            <w:r>
              <w:rPr>
                <w:rFonts w:ascii="Times New Roman;Times;serif" w:hAnsi="Times New Roman;Times;serif"/>
                <w:sz w:val="20"/>
              </w:rPr>
              <w:t>749,539</w:t>
            </w:r>
          </w:p>
        </w:tc>
      </w:tr>
      <w:tr>
        <w:trPr/>
        <w:tc>
          <w:tcPr>
            <w:tcW w:w="2146" w:type="dxa"/>
            <w:tcBorders>
              <w:bottom w:val="double" w:sz="6" w:space="0" w:color="000000"/>
            </w:tcBorders>
            <w:tcMar>
              <w:bottom w:w="28" w:type="dxa"/>
            </w:tcMar>
            <w:vAlign w:val="center"/>
          </w:tcPr>
          <w:p>
            <w:pPr>
              <w:pStyle w:val="TableContents"/>
              <w:bidi w:val="0"/>
              <w:spacing w:lineRule="auto" w:line="285" w:before="1" w:after="1"/>
              <w:ind w:left="0" w:right="0" w:hanging="0"/>
              <w:jc w:val="left"/>
              <w:rPr>
                <w:rFonts w:ascii="Times New Roman;Times;serif" w:hAnsi="Times New Roman;Times;serif"/>
                <w:sz w:val="20"/>
              </w:rPr>
            </w:pPr>
            <w:r>
              <w:rPr>
                <w:rFonts w:ascii="Times New Roman;Times;serif" w:hAnsi="Times New Roman;Times;serif"/>
                <w:sz w:val="20"/>
              </w:rPr>
              <w:t>Total</w:t>
            </w:r>
          </w:p>
        </w:tc>
        <w:tc>
          <w:tcPr>
            <w:tcW w:w="109"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1246" w:type="dxa"/>
            <w:tcBorders>
              <w:bottom w:val="double" w:sz="6" w:space="0" w:color="000000"/>
            </w:tcBorders>
            <w:tcMar>
              <w:bottom w:w="28" w:type="dxa"/>
            </w:tcMar>
            <w:vAlign w:val="center"/>
          </w:tcPr>
          <w:p>
            <w:pPr>
              <w:pStyle w:val="TableContents"/>
              <w:bidi w:val="0"/>
              <w:spacing w:lineRule="auto" w:line="285" w:before="1" w:after="1"/>
              <w:ind w:left="0" w:right="0" w:hanging="0"/>
              <w:jc w:val="right"/>
              <w:rPr>
                <w:rFonts w:ascii="Times New Roman;Times;serif" w:hAnsi="Times New Roman;Times;serif"/>
                <w:sz w:val="20"/>
              </w:rPr>
            </w:pPr>
            <w:r>
              <w:rPr>
                <w:rFonts w:ascii="Times New Roman;Times;serif" w:hAnsi="Times New Roman;Times;serif"/>
                <w:sz w:val="20"/>
              </w:rPr>
              <w:t>1,147,318</w:t>
            </w:r>
          </w:p>
        </w:tc>
        <w:tc>
          <w:tcPr>
            <w:tcW w:w="109"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1291" w:type="dxa"/>
            <w:tcBorders>
              <w:bottom w:val="double" w:sz="6" w:space="0" w:color="000000"/>
            </w:tcBorders>
            <w:tcMar>
              <w:bottom w:w="28" w:type="dxa"/>
            </w:tcMar>
            <w:vAlign w:val="center"/>
          </w:tcPr>
          <w:p>
            <w:pPr>
              <w:pStyle w:val="TableContents"/>
              <w:bidi w:val="0"/>
              <w:spacing w:lineRule="auto" w:line="285" w:before="1" w:after="1"/>
              <w:ind w:left="0" w:right="70" w:hanging="0"/>
              <w:jc w:val="right"/>
              <w:rPr>
                <w:rFonts w:ascii="Times New Roman;Times;serif" w:hAnsi="Times New Roman;Times;serif"/>
                <w:sz w:val="20"/>
              </w:rPr>
            </w:pPr>
            <w:r>
              <w:rPr>
                <w:rFonts w:ascii="Times New Roman;Times;serif" w:hAnsi="Times New Roman;Times;serif"/>
                <w:sz w:val="20"/>
              </w:rPr>
              <w:t>2,778,282</w:t>
            </w:r>
          </w:p>
        </w:tc>
      </w:tr>
    </w:tbl>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23</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MetaVia Inc.</w:t>
      </w:r>
    </w:p>
    <w:p>
      <w:pPr>
        <w:pStyle w:val="TextBody"/>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Form 10-Q</w:t>
      </w:r>
    </w:p>
    <w:p>
      <w:pPr>
        <w:pStyle w:val="TextBody"/>
        <w:bidi w:val="0"/>
        <w:spacing w:lineRule="auto" w:line="285" w:before="0" w:after="0"/>
        <w:ind w:left="0" w:right="0" w:hanging="0"/>
        <w:jc w:val="center"/>
        <w:rPr/>
      </w:pPr>
      <w:r>
        <w:rPr/>
        <w:t>​</w:t>
      </w:r>
    </w:p>
    <w:p>
      <w:pPr>
        <w:pStyle w:val="TextBody"/>
        <w:pBdr/>
        <w:shd w:fill="FFFFFF" w:val="clear"/>
        <w:bidi w:val="0"/>
        <w:spacing w:lineRule="auto" w:line="285" w:before="0" w:after="0"/>
        <w:ind w:left="0" w:right="0" w:hanging="0"/>
        <w:jc w:val="both"/>
        <w:rPr>
          <w:rFonts w:ascii="Times New Roman;Times;serif" w:hAnsi="Times New Roman;Times;serif"/>
          <w:i/>
          <w:color w:val="212529"/>
          <w:sz w:val="20"/>
        </w:rPr>
      </w:pPr>
      <w:r>
        <w:rPr>
          <w:rFonts w:ascii="Times New Roman;Times;serif" w:hAnsi="Times New Roman;Times;serif"/>
          <w:i/>
          <w:color w:val="212529"/>
          <w:sz w:val="20"/>
        </w:rPr>
        <w:t>At the market offering</w:t>
      </w:r>
    </w:p>
    <w:p>
      <w:pPr>
        <w:pStyle w:val="TextBody"/>
        <w:pBdr/>
        <w:shd w:fill="FFFFFF" w:val="clear"/>
        <w:bidi w:val="0"/>
        <w:spacing w:lineRule="auto" w:line="285" w:before="0" w:after="0"/>
        <w:ind w:left="0" w:right="0" w:hanging="0"/>
        <w:jc w:val="both"/>
        <w:rPr>
          <w:rFonts w:ascii="Times New Roman;Times;serif" w:hAnsi="Times New Roman;Times;serif"/>
          <w:sz w:val="20"/>
        </w:rPr>
      </w:pPr>
      <w:r>
        <w:rPr>
          <w:rFonts w:ascii="Times New Roman;Times;serif" w:hAnsi="Times New Roman;Times;serif"/>
          <w:sz w:val="20"/>
        </w:rPr>
        <w:t xml:space="preserve">In November 2025, we entered into an At The Market Offering Agreement (the “ATM Sales Agreement”) with Ladenburg Thalmann &amp; Co. Inc., as sales agent and/or principal (“Ladenburg”), pursuant to which we could offer and sell, from time to time through or to Ladenburg, shares of our common stock having an aggregate offering price of up to $2.3 million (the “ATM Program”) through June 30, 2026. The offer and sale of the shares of common stock pursuant to the ATM Program through June 30, 2026 was made pursuant to a shelf registration statement on Form S-3 and the related prospectus (File No. 333-278646) filed with the SEC on April 12, 2024, and declared effective by the SEC on April 23, 2024, as supplemented by a prospectus supplement filed with the SEC on November 6, 2025 pursuant to Rule 424(b) under the Securities Act. </w:t>
      </w:r>
    </w:p>
    <w:p>
      <w:pPr>
        <w:pStyle w:val="TextBody"/>
        <w:pBdr/>
        <w:shd w:fill="FFFFFF" w:val="clear"/>
        <w:bidi w:val="0"/>
        <w:spacing w:lineRule="auto" w:line="285" w:before="0" w:after="0"/>
        <w:ind w:left="0" w:right="0" w:hanging="0"/>
        <w:jc w:val="both"/>
        <w:rPr>
          <w:rFonts w:ascii="Times New Roman;Times;serif" w:hAnsi="Times New Roman;Times;serif"/>
          <w:sz w:val="20"/>
        </w:rPr>
      </w:pPr>
      <w:r>
        <w:rPr>
          <w:rFonts w:ascii="Times New Roman;Times;serif" w:hAnsi="Times New Roman;Times;serif"/>
          <w:sz w:val="20"/>
        </w:rPr>
        <w:t>Pursuant to the ATM Sales Agreement, Ladenburg may sell the shares by any method permitted by law deemed to be an “at the market offering” as defined in Rule 415(a)(4) of the Securities Act. We are not obligated to make any sales of the shares under the ATM Sales Agreement. The offering of shares pursuant to the ATM Sales Agreement will terminate upon the termination of the ATM Sales Agreement by Ladenburg or us, as permitted therein. We are obligated to pay Ladenburg an aggregate sales agent commission of 3.0% of the gross sales price of the shares sold pursuant to the ATM Sales Agreement. We will also reimburse Ladenburg for certain specified expenses in connection with entering into the ATM Sales Agreement, which contains customary representations and warranties and conditions to the placements of the shares pursuant thereto.</w:t>
      </w:r>
    </w:p>
    <w:p>
      <w:pPr>
        <w:pStyle w:val="TextBody"/>
        <w:pBdr/>
        <w:shd w:fill="FFFFFF" w:val="clear"/>
        <w:bidi w:val="0"/>
        <w:spacing w:lineRule="auto" w:line="285" w:before="0" w:after="0"/>
        <w:ind w:left="0" w:right="0" w:hanging="0"/>
        <w:jc w:val="both"/>
        <w:rPr>
          <w:rFonts w:ascii="Times New Roman;Times;serif" w:hAnsi="Times New Roman;Times;serif"/>
          <w:sz w:val="20"/>
        </w:rPr>
      </w:pPr>
      <w:r>
        <w:rPr>
          <w:rFonts w:ascii="Times New Roman;Times;serif" w:hAnsi="Times New Roman;Times;serif"/>
          <w:sz w:val="20"/>
        </w:rPr>
        <w:t>In 2026, we sold 422,919 shares of common stock under the ATM Program and received net proceeds of $0.7 million, net of sales agent commission and related offering expenses. As of June 30, 2026, we had $0.2 million remaining under the ATM Program in which we may offer and sell shares of our common stock. On July 2, 2026, we increased the size of the ATM Program to allow the offer and sale of shares of our common stock having an aggregate offering price of up to $4.0 million.</w:t>
      </w:r>
    </w:p>
    <w:p>
      <w:pPr>
        <w:pStyle w:val="TextBody"/>
        <w:shd w:fill="FFFFFF" w:val="clear"/>
        <w:bidi w:val="0"/>
        <w:spacing w:lineRule="auto" w:line="285" w:before="0" w:after="160"/>
        <w:ind w:left="0" w:right="0" w:hanging="0"/>
        <w:jc w:val="both"/>
        <w:rPr>
          <w:rFonts w:ascii="Times New Roman;Times;serif" w:hAnsi="Times New Roman;Times;serif"/>
          <w:b/>
          <w:sz w:val="20"/>
        </w:rPr>
      </w:pPr>
      <w:r>
        <w:rPr>
          <w:rFonts w:ascii="Times New Roman;Times;serif" w:hAnsi="Times New Roman;Times;serif"/>
          <w:b/>
          <w:sz w:val="20"/>
        </w:rPr>
        <w:t>Cash flows</w:t>
      </w:r>
    </w:p>
    <w:p>
      <w:pPr>
        <w:pStyle w:val="TextBody"/>
        <w:bidi w:val="0"/>
        <w:spacing w:lineRule="auto" w:line="285" w:before="0" w:after="160"/>
        <w:ind w:left="0" w:right="0" w:hanging="0"/>
        <w:jc w:val="both"/>
        <w:rPr>
          <w:rFonts w:ascii="Times New Roman;Times;serif" w:hAnsi="Times New Roman;Times;serif"/>
          <w:sz w:val="20"/>
          <w:shd w:fill="FFFFFF" w:val="clear"/>
        </w:rPr>
      </w:pPr>
      <w:r>
        <w:rPr>
          <w:rFonts w:ascii="Times New Roman;Times;serif" w:hAnsi="Times New Roman;Times;serif"/>
          <w:sz w:val="20"/>
          <w:shd w:fill="FFFFFF" w:val="clear"/>
        </w:rPr>
        <w:t xml:space="preserve">The principal use of cash in operating activities is to fund our current expenditures in support of our R&amp;D activities. Financing activities currently represent the principal source of our cash flow. </w:t>
      </w:r>
    </w:p>
    <w:p>
      <w:pPr>
        <w:pStyle w:val="TextBody"/>
        <w:bidi w:val="0"/>
        <w:spacing w:lineRule="auto" w:line="285" w:before="0" w:after="160"/>
        <w:ind w:left="0" w:right="0" w:hanging="0"/>
        <w:jc w:val="both"/>
        <w:rPr>
          <w:rFonts w:ascii="Times New Roman;Times;serif" w:hAnsi="Times New Roman;Times;serif"/>
          <w:sz w:val="20"/>
          <w:shd w:fill="FFFFFF" w:val="clear"/>
        </w:rPr>
      </w:pPr>
      <w:r>
        <w:rPr>
          <w:rFonts w:ascii="Times New Roman;Times;serif" w:hAnsi="Times New Roman;Times;serif"/>
          <w:sz w:val="20"/>
          <w:shd w:fill="FFFFFF" w:val="clear"/>
        </w:rPr>
        <w:t>The following table reflects the major categories of cash flows (in thousands).</w:t>
      </w:r>
    </w:p>
    <w:tbl>
      <w:tblPr>
        <w:tblW w:w="6196" w:type="dxa"/>
        <w:jc w:val="left"/>
        <w:tblInd w:w="0" w:type="dxa"/>
        <w:tblLayout w:type="fixed"/>
        <w:tblCellMar>
          <w:top w:w="0" w:type="dxa"/>
          <w:left w:w="0" w:type="dxa"/>
          <w:bottom w:w="0" w:type="dxa"/>
          <w:right w:w="0" w:type="dxa"/>
        </w:tblCellMar>
      </w:tblPr>
      <w:tblGrid>
        <w:gridCol w:w="3466"/>
        <w:gridCol w:w="346"/>
        <w:gridCol w:w="257"/>
        <w:gridCol w:w="842"/>
        <w:gridCol w:w="132"/>
        <w:gridCol w:w="257"/>
        <w:gridCol w:w="896"/>
      </w:tblGrid>
      <w:tr>
        <w:trPr/>
        <w:tc>
          <w:tcPr>
            <w:tcW w:w="34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3">
                      <wp:simplePos x="0" y="0"/>
                      <wp:positionH relativeFrom="character">
                        <wp:align>left</wp:align>
                      </wp:positionH>
                      <wp:positionV relativeFrom="line">
                        <wp:posOffset>635</wp:posOffset>
                      </wp:positionV>
                      <wp:extent cx="2200910" cy="175260"/>
                      <wp:effectExtent l="0" t="0" r="0" b="0"/>
                      <wp:wrapNone/>
                      <wp:docPr id="202" name="Frame201"/>
                      <a:graphic xmlns:a="http://schemas.openxmlformats.org/drawingml/2006/main">
                        <a:graphicData uri="http://schemas.microsoft.com/office/word/2010/wordprocessingShape">
                          <wps:wsp>
                            <wps:cNvSpPr txBox="1"/>
                            <wps:spPr>
                              <a:xfrm>
                                <a:off x="0" y="0"/>
                                <a:ext cx="22009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4">
                      <wp:simplePos x="0" y="0"/>
                      <wp:positionH relativeFrom="character">
                        <wp:align>left</wp:align>
                      </wp:positionH>
                      <wp:positionV relativeFrom="line">
                        <wp:posOffset>635</wp:posOffset>
                      </wp:positionV>
                      <wp:extent cx="219710" cy="175260"/>
                      <wp:effectExtent l="0" t="0" r="0" b="0"/>
                      <wp:wrapNone/>
                      <wp:docPr id="203" name="Frame20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5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5">
                      <wp:simplePos x="0" y="0"/>
                      <wp:positionH relativeFrom="character">
                        <wp:align>left</wp:align>
                      </wp:positionH>
                      <wp:positionV relativeFrom="line">
                        <wp:posOffset>635</wp:posOffset>
                      </wp:positionV>
                      <wp:extent cx="163195" cy="175260"/>
                      <wp:effectExtent l="0" t="0" r="0" b="0"/>
                      <wp:wrapNone/>
                      <wp:docPr id="204" name="Frame203"/>
                      <a:graphic xmlns:a="http://schemas.openxmlformats.org/drawingml/2006/main">
                        <a:graphicData uri="http://schemas.microsoft.com/office/word/2010/wordprocessingShape">
                          <wps:wsp>
                            <wps:cNvSpPr txBox="1"/>
                            <wps:spPr>
                              <a:xfrm>
                                <a:off x="0" y="0"/>
                                <a:ext cx="16319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84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6">
                      <wp:simplePos x="0" y="0"/>
                      <wp:positionH relativeFrom="character">
                        <wp:align>left</wp:align>
                      </wp:positionH>
                      <wp:positionV relativeFrom="line">
                        <wp:posOffset>635</wp:posOffset>
                      </wp:positionV>
                      <wp:extent cx="534670" cy="175260"/>
                      <wp:effectExtent l="0" t="0" r="0" b="0"/>
                      <wp:wrapNone/>
                      <wp:docPr id="205" name="Frame204"/>
                      <a:graphic xmlns:a="http://schemas.openxmlformats.org/drawingml/2006/main">
                        <a:graphicData uri="http://schemas.microsoft.com/office/word/2010/wordprocessingShape">
                          <wps:wsp>
                            <wps:cNvSpPr txBox="1"/>
                            <wps:spPr>
                              <a:xfrm>
                                <a:off x="0" y="0"/>
                                <a:ext cx="53467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3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7">
                      <wp:simplePos x="0" y="0"/>
                      <wp:positionH relativeFrom="character">
                        <wp:align>left</wp:align>
                      </wp:positionH>
                      <wp:positionV relativeFrom="line">
                        <wp:posOffset>635</wp:posOffset>
                      </wp:positionV>
                      <wp:extent cx="83820" cy="175260"/>
                      <wp:effectExtent l="0" t="0" r="0" b="0"/>
                      <wp:wrapNone/>
                      <wp:docPr id="206" name="Frame205"/>
                      <a:graphic xmlns:a="http://schemas.openxmlformats.org/drawingml/2006/main">
                        <a:graphicData uri="http://schemas.microsoft.com/office/word/2010/wordprocessingShape">
                          <wps:wsp>
                            <wps:cNvSpPr txBox="1"/>
                            <wps:spPr>
                              <a:xfrm>
                                <a:off x="0" y="0"/>
                                <a:ext cx="8382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5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8">
                      <wp:simplePos x="0" y="0"/>
                      <wp:positionH relativeFrom="character">
                        <wp:align>left</wp:align>
                      </wp:positionH>
                      <wp:positionV relativeFrom="line">
                        <wp:posOffset>635</wp:posOffset>
                      </wp:positionV>
                      <wp:extent cx="163195" cy="175260"/>
                      <wp:effectExtent l="0" t="0" r="0" b="0"/>
                      <wp:wrapNone/>
                      <wp:docPr id="207" name="Frame206"/>
                      <a:graphic xmlns:a="http://schemas.openxmlformats.org/drawingml/2006/main">
                        <a:graphicData uri="http://schemas.microsoft.com/office/word/2010/wordprocessingShape">
                          <wps:wsp>
                            <wps:cNvSpPr txBox="1"/>
                            <wps:spPr>
                              <a:xfrm>
                                <a:off x="0" y="0"/>
                                <a:ext cx="16319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8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9">
                      <wp:simplePos x="0" y="0"/>
                      <wp:positionH relativeFrom="character">
                        <wp:align>left</wp:align>
                      </wp:positionH>
                      <wp:positionV relativeFrom="line">
                        <wp:posOffset>635</wp:posOffset>
                      </wp:positionV>
                      <wp:extent cx="568960" cy="175260"/>
                      <wp:effectExtent l="0" t="0" r="0" b="0"/>
                      <wp:wrapNone/>
                      <wp:docPr id="208" name="Frame207"/>
                      <a:graphic xmlns:a="http://schemas.openxmlformats.org/drawingml/2006/main">
                        <a:graphicData uri="http://schemas.microsoft.com/office/word/2010/wordprocessingShape">
                          <wps:wsp>
                            <wps:cNvSpPr txBox="1"/>
                            <wps:spPr>
                              <a:xfrm>
                                <a:off x="0" y="0"/>
                                <a:ext cx="56896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r>
      <w:tr>
        <w:trPr/>
        <w:tc>
          <w:tcPr>
            <w:tcW w:w="3466"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2384" w:type="dxa"/>
            <w:gridSpan w:val="5"/>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Six Months Ended June 30,</w:t>
            </w:r>
          </w:p>
        </w:tc>
      </w:tr>
      <w:tr>
        <w:trPr/>
        <w:tc>
          <w:tcPr>
            <w:tcW w:w="3466"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346"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  ​ ​ ​</w:t>
            </w:r>
          </w:p>
        </w:tc>
        <w:tc>
          <w:tcPr>
            <w:tcW w:w="1099"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2026</w:t>
            </w:r>
          </w:p>
        </w:tc>
        <w:tc>
          <w:tcPr>
            <w:tcW w:w="132"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1153"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2025</w:t>
            </w:r>
          </w:p>
        </w:tc>
      </w:tr>
      <w:tr>
        <w:trPr/>
        <w:tc>
          <w:tcPr>
            <w:tcW w:w="346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Net cash used in operating activities</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57"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42"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(8,020)</w:t>
            </w:r>
          </w:p>
        </w:tc>
        <w:tc>
          <w:tcPr>
            <w:tcW w:w="132" w:type="dxa"/>
            <w:tcBorders/>
            <w:shd w:fill="CCEEFF" w:val="clear"/>
            <w:vAlign w:val="center"/>
          </w:tcPr>
          <w:p>
            <w:pPr>
              <w:pStyle w:val="TableContents"/>
              <w:bidi w:val="0"/>
              <w:spacing w:lineRule="auto" w:line="285" w:before="0" w:after="0"/>
              <w:ind w:left="0" w:right="0" w:hanging="0"/>
              <w:jc w:val="right"/>
              <w:rPr/>
            </w:pPr>
            <w:r>
              <w:rPr/>
              <w:t>​</w:t>
            </w:r>
          </w:p>
        </w:tc>
        <w:tc>
          <w:tcPr>
            <w:tcW w:w="257"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96"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(7,886)</w:t>
            </w:r>
          </w:p>
        </w:tc>
      </w:tr>
      <w:tr>
        <w:trPr/>
        <w:tc>
          <w:tcPr>
            <w:tcW w:w="3466"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Net cash used in investing activities</w:t>
            </w:r>
          </w:p>
        </w:tc>
        <w:tc>
          <w:tcPr>
            <w:tcW w:w="346" w:type="dxa"/>
            <w:tcBorders/>
            <w:vAlign w:val="center"/>
          </w:tcPr>
          <w:p>
            <w:pPr>
              <w:pStyle w:val="TableContents"/>
              <w:bidi w:val="0"/>
              <w:spacing w:lineRule="auto" w:line="285" w:before="0" w:after="0"/>
              <w:ind w:left="0" w:right="0" w:hanging="0"/>
              <w:jc w:val="left"/>
              <w:rPr/>
            </w:pPr>
            <w:r>
              <w:rPr/>
              <w:t>​</w:t>
            </w:r>
          </w:p>
        </w:tc>
        <w:tc>
          <w:tcPr>
            <w:tcW w:w="257" w:type="dxa"/>
            <w:tcBorders/>
            <w:vAlign w:val="center"/>
          </w:tcPr>
          <w:p>
            <w:pPr>
              <w:pStyle w:val="TableContents"/>
              <w:bidi w:val="0"/>
              <w:spacing w:lineRule="auto" w:line="285" w:before="0" w:after="0"/>
              <w:ind w:left="0" w:right="0" w:hanging="0"/>
              <w:jc w:val="left"/>
              <w:rPr/>
            </w:pPr>
            <w:r>
              <w:rPr/>
              <w:t>​</w:t>
            </w:r>
          </w:p>
        </w:tc>
        <w:tc>
          <w:tcPr>
            <w:tcW w:w="842" w:type="dxa"/>
            <w:tcBorders/>
            <w:vAlign w:val="center"/>
          </w:tcPr>
          <w:p>
            <w:pPr>
              <w:pStyle w:val="TableContents"/>
              <w:bidi w:val="0"/>
              <w:spacing w:lineRule="auto" w:line="285" w:before="0" w:after="0"/>
              <w:ind w:left="0" w:right="0" w:hanging="0"/>
              <w:jc w:val="right"/>
              <w:rPr/>
            </w:pPr>
            <w:r>
              <w:rPr/>
              <w:t>—</w:t>
            </w:r>
          </w:p>
        </w:tc>
        <w:tc>
          <w:tcPr>
            <w:tcW w:w="132" w:type="dxa"/>
            <w:tcBorders/>
            <w:vAlign w:val="center"/>
          </w:tcPr>
          <w:p>
            <w:pPr>
              <w:pStyle w:val="TableContents"/>
              <w:bidi w:val="0"/>
              <w:spacing w:lineRule="auto" w:line="285" w:before="0" w:after="0"/>
              <w:ind w:left="0" w:right="0" w:hanging="0"/>
              <w:jc w:val="right"/>
              <w:rPr/>
            </w:pPr>
            <w:r>
              <w:rPr/>
              <w:t>​</w:t>
            </w:r>
          </w:p>
        </w:tc>
        <w:tc>
          <w:tcPr>
            <w:tcW w:w="257" w:type="dxa"/>
            <w:tcBorders/>
            <w:vAlign w:val="center"/>
          </w:tcPr>
          <w:p>
            <w:pPr>
              <w:pStyle w:val="TableContents"/>
              <w:bidi w:val="0"/>
              <w:spacing w:lineRule="auto" w:line="285" w:before="0" w:after="0"/>
              <w:ind w:left="0" w:right="0" w:hanging="0"/>
              <w:jc w:val="left"/>
              <w:rPr/>
            </w:pPr>
            <w:r>
              <w:rPr/>
              <w:t>​</w:t>
            </w:r>
          </w:p>
        </w:tc>
        <w:tc>
          <w:tcPr>
            <w:tcW w:w="896"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w:t>
            </w:r>
          </w:p>
        </w:tc>
      </w:tr>
      <w:tr>
        <w:trPr/>
        <w:tc>
          <w:tcPr>
            <w:tcW w:w="346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Net cash provided by financing activities</w:t>
            </w:r>
          </w:p>
        </w:tc>
        <w:tc>
          <w:tcPr>
            <w:tcW w:w="34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257"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 </w:t>
            </w:r>
          </w:p>
        </w:tc>
        <w:tc>
          <w:tcPr>
            <w:tcW w:w="842"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10,376</w:t>
            </w:r>
          </w:p>
        </w:tc>
        <w:tc>
          <w:tcPr>
            <w:tcW w:w="132"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pPr>
            <w:r>
              <w:rPr/>
              <w:t>​</w:t>
            </w:r>
          </w:p>
        </w:tc>
        <w:tc>
          <w:tcPr>
            <w:tcW w:w="257"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pPr>
            <w:r>
              <w:rPr/>
              <w:t>​</w:t>
            </w:r>
          </w:p>
        </w:tc>
        <w:tc>
          <w:tcPr>
            <w:tcW w:w="89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9,460</w:t>
            </w:r>
          </w:p>
        </w:tc>
      </w:tr>
      <w:tr>
        <w:trPr/>
        <w:tc>
          <w:tcPr>
            <w:tcW w:w="3466"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Net increase in cash and cash equivalents</w:t>
            </w:r>
          </w:p>
        </w:tc>
        <w:tc>
          <w:tcPr>
            <w:tcW w:w="346"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257"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42"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2,356</w:t>
            </w:r>
          </w:p>
        </w:tc>
        <w:tc>
          <w:tcPr>
            <w:tcW w:w="132"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pPr>
            <w:r>
              <w:rPr/>
              <w:t>​</w:t>
            </w:r>
          </w:p>
        </w:tc>
        <w:tc>
          <w:tcPr>
            <w:tcW w:w="257"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96" w:type="dxa"/>
            <w:tcBorders>
              <w:bottom w:val="double" w:sz="6" w:space="0" w:color="000000"/>
            </w:tcBorders>
            <w:tcMar>
              <w:bottom w:w="28" w:type="dxa"/>
            </w:tcMar>
            <w:vAlign w:val="center"/>
          </w:tcPr>
          <w:p>
            <w:pPr>
              <w:pStyle w:val="TableContents"/>
              <w:bidi w:val="0"/>
              <w:spacing w:lineRule="auto" w:line="285" w:before="0" w:after="0"/>
              <w:ind w:left="0" w:right="70" w:hanging="0"/>
              <w:jc w:val="right"/>
              <w:rPr>
                <w:rFonts w:ascii="Times New Roman;Times;serif" w:hAnsi="Times New Roman;Times;serif"/>
                <w:sz w:val="20"/>
              </w:rPr>
            </w:pPr>
            <w:r>
              <w:rPr>
                <w:rFonts w:ascii="Times New Roman;Times;serif" w:hAnsi="Times New Roman;Times;serif"/>
                <w:sz w:val="20"/>
              </w:rPr>
              <w:t>1,572</w:t>
            </w:r>
          </w:p>
        </w:tc>
      </w:tr>
    </w:tbl>
    <w:p>
      <w:pPr>
        <w:pStyle w:val="TextBody"/>
        <w:pBdr/>
        <w:shd w:fill="FFFFFF" w:val="clear"/>
        <w:bidi w:val="0"/>
        <w:spacing w:lineRule="auto" w:line="285" w:before="160" w:after="0"/>
        <w:ind w:left="0" w:right="0" w:hanging="0"/>
        <w:jc w:val="both"/>
        <w:rPr>
          <w:rFonts w:ascii="Times New Roman;Times;serif" w:hAnsi="Times New Roman;Times;serif"/>
          <w:sz w:val="20"/>
        </w:rPr>
      </w:pPr>
      <w:r>
        <w:rPr>
          <w:rFonts w:ascii="Times New Roman;Times;serif" w:hAnsi="Times New Roman;Times;serif"/>
          <w:sz w:val="20"/>
        </w:rPr>
        <w:t>Net cash used in operating activities for the six months ended June 30, 2026 was approximately $8.0 million and primarily attributable to net loss of $9.1 million, partially offset by changes in operating assets and liabilities of $0.8 million and non-cash charges totaling $0.3 million, which was primarily related to stock-based compensation, non-cash professional services expenses and change in fair value of warrant liabilities. Net cash used in operating activities for the six months ended June 30, 2025 was $7.9 million and primarily attributable to net loss of $7.7 million and net cash used in changes in operating assets and liabilities of $0.2 million.</w:t>
      </w:r>
    </w:p>
    <w:p>
      <w:pPr>
        <w:pStyle w:val="TextBody"/>
        <w:pBdr/>
        <w:shd w:fill="FFFFFF" w:val="clear"/>
        <w:bidi w:val="0"/>
        <w:spacing w:lineRule="auto" w:line="285" w:before="0" w:after="0"/>
        <w:ind w:left="0" w:right="0" w:hanging="0"/>
        <w:jc w:val="both"/>
        <w:rPr>
          <w:rFonts w:ascii="Times New Roman;Times;serif" w:hAnsi="Times New Roman;Times;serif"/>
          <w:sz w:val="20"/>
        </w:rPr>
      </w:pPr>
      <w:r>
        <w:rPr>
          <w:rFonts w:ascii="Times New Roman;Times;serif" w:hAnsi="Times New Roman;Times;serif"/>
          <w:sz w:val="20"/>
        </w:rPr>
        <w:t xml:space="preserve">There were no cash flows used in or provided by investing activities for the six months ended June 30, 2026 while cash used in investing activities for the six months ended June 30, 2025 was minimal and related to the purchase of property and equipment. </w:t>
      </w:r>
    </w:p>
    <w:p>
      <w:pPr>
        <w:pStyle w:val="TextBody"/>
        <w:shd w:fill="FFFFFF" w:val="clear"/>
        <w:bidi w:val="0"/>
        <w:spacing w:lineRule="auto" w:line="285" w:before="0" w:after="0"/>
        <w:ind w:left="0" w:right="0" w:hanging="0"/>
        <w:jc w:val="both"/>
        <w:rPr>
          <w:rFonts w:ascii="Times New Roman;Times;serif" w:hAnsi="Times New Roman;Times;serif"/>
          <w:sz w:val="20"/>
        </w:rPr>
      </w:pPr>
      <w:r>
        <w:rPr>
          <w:rFonts w:ascii="Times New Roman;Times;serif" w:hAnsi="Times New Roman;Times;serif"/>
          <w:sz w:val="20"/>
        </w:rPr>
        <w:t xml:space="preserve">Net cash provided by financing activities for the six months ended June 30, 2026 was $10.4 million and primarily attributable to gross proceeds of (i) $9.3 million from an underwritten public offering in January 2026, (ii) $0.9 million from the sale of common stock under the ATM Sales Agreement and (iii) $2.4 million from exercise of warrants. Partially offsetting these gross proceeds was an aggregate payment of $2.3 million in issuance costs in connection with the sale of common stock and warrants under an underwritten public offering and under an at the market offering agreement. Net cash provided by financing activities for the six months ended June 30, 2025 was $9.5 million and primarily attributable to gross proceeds of $10.0 million from the </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24</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MetaVia Inc.</w:t>
      </w:r>
    </w:p>
    <w:p>
      <w:pPr>
        <w:pStyle w:val="TextBody"/>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Form 10-Q</w:t>
      </w:r>
    </w:p>
    <w:p>
      <w:pPr>
        <w:pStyle w:val="TextBody"/>
        <w:bidi w:val="0"/>
        <w:spacing w:lineRule="auto" w:line="285" w:before="0" w:after="0"/>
        <w:ind w:left="0" w:right="0" w:hanging="0"/>
        <w:jc w:val="center"/>
        <w:rPr/>
      </w:pPr>
      <w:r>
        <w:rPr/>
        <w:t>​</w:t>
      </w:r>
    </w:p>
    <w:p>
      <w:pPr>
        <w:pStyle w:val="TextBody"/>
        <w:pBdr/>
        <w:shd w:fill="FFFFFF" w:val="clear"/>
        <w:bidi w:val="0"/>
        <w:spacing w:lineRule="auto" w:line="285" w:before="0" w:after="0"/>
        <w:ind w:left="0" w:right="0" w:hanging="0"/>
        <w:jc w:val="both"/>
        <w:rPr>
          <w:rFonts w:ascii="Times New Roman;Times;serif" w:hAnsi="Times New Roman;Times;serif"/>
          <w:sz w:val="20"/>
        </w:rPr>
      </w:pPr>
      <w:r>
        <w:rPr>
          <w:rFonts w:ascii="Times New Roman;Times;serif" w:hAnsi="Times New Roman;Times;serif"/>
          <w:sz w:val="20"/>
        </w:rPr>
        <w:t>May 2025 private placement offering, partially offset by the payment of $0.5 million of issuance costs in connection with the May 2025 private placement offering.</w:t>
      </w:r>
    </w:p>
    <w:p>
      <w:pPr>
        <w:pStyle w:val="TextBody"/>
        <w:pBdr/>
        <w:shd w:fill="FFFFFF" w:val="clear"/>
        <w:bidi w:val="0"/>
        <w:spacing w:lineRule="auto" w:line="285" w:before="0" w:after="0"/>
        <w:ind w:left="0" w:right="0" w:hanging="0"/>
        <w:jc w:val="both"/>
        <w:rPr>
          <w:rFonts w:ascii="Times New Roman;Times;serif" w:hAnsi="Times New Roman;Times;serif"/>
          <w:sz w:val="20"/>
        </w:rPr>
      </w:pPr>
      <w:r>
        <w:rPr>
          <w:rFonts w:ascii="Times New Roman;Times;serif" w:hAnsi="Times New Roman;Times;serif"/>
          <w:sz w:val="20"/>
        </w:rPr>
        <w:t>For additional details, see the unaudited condensed consolidated statements of cash flows in the unaudited condensed consolidated financial statements included elsewhere in this Report.</w:t>
      </w:r>
    </w:p>
    <w:p>
      <w:pPr>
        <w:pStyle w:val="TextBody"/>
        <w:pBdr/>
        <w:shd w:fill="FFFFFF" w:val="clear"/>
        <w:bidi w:val="0"/>
        <w:spacing w:lineRule="auto" w:line="285" w:before="0" w:after="0"/>
        <w:ind w:left="0" w:right="0" w:hanging="0"/>
        <w:jc w:val="both"/>
        <w:rPr>
          <w:rFonts w:ascii="Times New Roman;Times;serif" w:hAnsi="Times New Roman;Times;serif"/>
          <w:b/>
          <w:sz w:val="20"/>
        </w:rPr>
      </w:pPr>
      <w:r>
        <w:rPr>
          <w:rFonts w:ascii="Times New Roman;Times;serif" w:hAnsi="Times New Roman;Times;serif"/>
          <w:b/>
          <w:sz w:val="20"/>
        </w:rPr>
        <w:t>Critical accounting estimates</w:t>
      </w:r>
    </w:p>
    <w:p>
      <w:pPr>
        <w:pStyle w:val="TextBody"/>
        <w:shd w:fill="FFFFFF" w:val="clear"/>
        <w:bidi w:val="0"/>
        <w:spacing w:lineRule="auto" w:line="285" w:before="0" w:after="160"/>
        <w:ind w:left="0" w:right="0" w:hanging="0"/>
        <w:jc w:val="both"/>
        <w:rPr>
          <w:rFonts w:ascii="Times New Roman;Times;serif" w:hAnsi="Times New Roman;Times;serif"/>
          <w:sz w:val="20"/>
        </w:rPr>
      </w:pPr>
      <w:r>
        <w:rPr>
          <w:rFonts w:ascii="Times New Roman;Times;serif" w:hAnsi="Times New Roman;Times;serif"/>
          <w:sz w:val="20"/>
        </w:rPr>
        <w:t>Our unaudited condensed consolidated financial statements included in this Report have been prepared in accordance with accounting principles generally accepted in the United States of America (“GAAP”).</w:t>
      </w:r>
    </w:p>
    <w:p>
      <w:pPr>
        <w:pStyle w:val="TextBody"/>
        <w:bidi w:val="0"/>
        <w:spacing w:lineRule="auto" w:line="285" w:before="0" w:after="160"/>
        <w:ind w:left="0" w:right="0" w:hanging="0"/>
        <w:jc w:val="both"/>
        <w:rPr>
          <w:rFonts w:ascii="Times New Roman;Times;serif" w:hAnsi="Times New Roman;Times;serif"/>
          <w:sz w:val="20"/>
        </w:rPr>
      </w:pPr>
      <w:r>
        <w:rPr>
          <w:rFonts w:ascii="Times New Roman;Times;serif" w:hAnsi="Times New Roman;Times;serif"/>
          <w:sz w:val="20"/>
        </w:rPr>
        <w:t xml:space="preserve">The preparation of financial statements in conformity with GAAP requires management to make estimates and assumptions that affect the reported amounts of assets, liabilities, expenses, and related disclosure of contingent assets and liabilities at the date of the unaudited condensed consolidated financial statements and the reported amounts of expenses during the reporting period. The most significant estimates in our unaudited condensed consolidated financial statements relate to accrued expenses and the fair value of stock-based compensation and warrants. We base our estimates on historical experience and on various other assumptions that are believed to be reasonable, the results of which form the basis for making judgments about the carrying values of assets and liabilities. Actual results could differ from those estimates. Changes in estimates are reflected in reported results in the period in which they become known. </w:t>
      </w:r>
    </w:p>
    <w:p>
      <w:pPr>
        <w:pStyle w:val="TextBody"/>
        <w:pBdr/>
        <w:bidi w:val="0"/>
        <w:spacing w:lineRule="auto" w:line="285" w:before="0" w:after="0"/>
        <w:ind w:left="0" w:right="0" w:hanging="0"/>
        <w:jc w:val="both"/>
        <w:rPr>
          <w:rFonts w:ascii="Times New Roman;Times;serif" w:hAnsi="Times New Roman;Times;serif"/>
          <w:sz w:val="20"/>
        </w:rPr>
      </w:pPr>
      <w:r>
        <w:rPr>
          <w:rFonts w:ascii="Times New Roman;Times;serif" w:hAnsi="Times New Roman;Times;serif"/>
          <w:sz w:val="20"/>
          <w:shd w:fill="FFFFFF" w:val="clear"/>
        </w:rPr>
        <w:t xml:space="preserve">There have been no material changes to our </w:t>
      </w:r>
      <w:r>
        <w:rPr>
          <w:rFonts w:ascii="Times New Roman;Times;serif" w:hAnsi="Times New Roman;Times;serif"/>
          <w:sz w:val="20"/>
        </w:rPr>
        <w:t>critical accounting estimates and judgments</w:t>
      </w:r>
      <w:r>
        <w:rPr>
          <w:rFonts w:ascii="Times New Roman;Times;serif" w:hAnsi="Times New Roman;Times;serif"/>
          <w:sz w:val="20"/>
          <w:shd w:fill="FFFFFF" w:val="clear"/>
        </w:rPr>
        <w:t xml:space="preserve"> since December 31, 2025. Refer to our 2025 Form 10-K for a complete discussion of our </w:t>
      </w:r>
      <w:r>
        <w:rPr>
          <w:rFonts w:ascii="Times New Roman;Times;serif" w:hAnsi="Times New Roman;Times;serif"/>
          <w:sz w:val="20"/>
        </w:rPr>
        <w:t>critical accounting estimates and judgments.</w:t>
      </w:r>
    </w:p>
    <w:p>
      <w:pPr>
        <w:pStyle w:val="TextBody"/>
        <w:pBdr/>
        <w:shd w:fill="FFFFFF" w:val="clear"/>
        <w:bidi w:val="0"/>
        <w:spacing w:lineRule="auto" w:line="285" w:before="0" w:after="0"/>
        <w:ind w:left="0" w:right="0" w:hanging="0"/>
        <w:jc w:val="both"/>
        <w:rPr>
          <w:rFonts w:ascii="Times New Roman;Times;serif" w:hAnsi="Times New Roman;Times;serif"/>
          <w:b/>
          <w:sz w:val="20"/>
        </w:rPr>
      </w:pPr>
      <w:r>
        <w:rPr>
          <w:rFonts w:ascii="Times New Roman;Times;serif" w:hAnsi="Times New Roman;Times;serif"/>
          <w:b/>
          <w:sz w:val="20"/>
        </w:rPr>
        <w:t>Recent accounting pronouncements</w:t>
      </w:r>
    </w:p>
    <w:p>
      <w:pPr>
        <w:pStyle w:val="TextBody"/>
        <w:shd w:fill="FFFFFF" w:val="clear"/>
        <w:bidi w:val="0"/>
        <w:spacing w:lineRule="auto" w:line="285" w:before="0" w:after="0"/>
        <w:ind w:left="0" w:right="0" w:hanging="0"/>
        <w:jc w:val="both"/>
        <w:rPr>
          <w:rFonts w:ascii="Times New Roman;Times;serif" w:hAnsi="Times New Roman;Times;serif"/>
          <w:sz w:val="20"/>
        </w:rPr>
      </w:pPr>
      <w:r>
        <w:rPr>
          <w:rFonts w:ascii="Times New Roman;Times;serif" w:hAnsi="Times New Roman;Times;serif"/>
          <w:sz w:val="20"/>
        </w:rPr>
        <w:t>Information regarding (i) adoption of new accounting standards and (ii) accounting standards issued but not yet adopted is included in “Note 1. Business, basis of presentation, new accounting standards and summary of significant accounting policies” to the unaudited condensed consolidated financial statements included in this Report.</w:t>
      </w:r>
    </w:p>
    <w:p>
      <w:pPr>
        <w:pStyle w:val="TextBody"/>
        <w:bidi w:val="0"/>
        <w:spacing w:lineRule="auto" w:line="285" w:before="0" w:after="0"/>
        <w:ind w:left="0" w:right="0" w:hanging="0"/>
        <w:jc w:val="left"/>
        <w:rPr/>
      </w:pPr>
      <w:r>
        <w:rPr/>
        <w:t>​</w:t>
      </w:r>
    </w:p>
    <w:p>
      <w:pPr>
        <w:pStyle w:val="TextBody"/>
        <w:bidi w:val="0"/>
        <w:spacing w:lineRule="auto" w:line="285" w:before="0" w:after="160"/>
        <w:ind w:left="0" w:right="0" w:hanging="0"/>
        <w:jc w:val="left"/>
        <w:rPr>
          <w:rFonts w:ascii="Times New Roman;Times;serif" w:hAnsi="Times New Roman;Times;serif"/>
          <w:sz w:val="20"/>
        </w:rPr>
      </w:pPr>
      <w:bookmarkStart w:id="809" w:name="ITEM3QUANTITATIVEANDQUALITATIVE_543894"/>
      <w:bookmarkStart w:id="810" w:name="_03ee3ad9_e8ad_4660_ab51_7b78a3c46360"/>
      <w:bookmarkEnd w:id="809"/>
      <w:bookmarkEnd w:id="810"/>
      <w:r>
        <w:rPr>
          <w:rFonts w:ascii="Times New Roman;Times;serif" w:hAnsi="Times New Roman;Times;serif"/>
          <w:b/>
          <w:i w:val="false"/>
          <w:caps w:val="false"/>
          <w:smallCaps w:val="false"/>
          <w:sz w:val="20"/>
        </w:rPr>
        <w:t>Item 3.</w:t>
      </w:r>
      <w:r>
        <w:rPr>
          <w:rFonts w:ascii="Times New Roman;Times;serif" w:hAnsi="Times New Roman;Times;serif"/>
          <w:b/>
          <w:sz w:val="20"/>
        </w:rPr>
        <w:t>Quantitative and Qualitative Disclosures about Market Risk</w:t>
      </w:r>
    </w:p>
    <w:p>
      <w:pPr>
        <w:pStyle w:val="TextBody"/>
        <w:bidi w:val="0"/>
        <w:spacing w:lineRule="auto" w:line="285" w:before="0" w:after="0"/>
        <w:ind w:left="0" w:right="0" w:hanging="0"/>
        <w:jc w:val="both"/>
        <w:rPr>
          <w:rFonts w:ascii="Times New Roman;Times;serif" w:hAnsi="Times New Roman;Times;serif"/>
          <w:sz w:val="20"/>
        </w:rPr>
      </w:pPr>
      <w:r>
        <w:rPr>
          <w:rFonts w:ascii="Times New Roman;Times;serif" w:hAnsi="Times New Roman;Times;serif"/>
          <w:sz w:val="20"/>
          <w:shd w:fill="FFFFFF" w:val="clear"/>
        </w:rPr>
        <w:t>Not applicable</w:t>
      </w:r>
      <w:r>
        <w:rPr>
          <w:rFonts w:ascii="Times New Roman;Times;serif" w:hAnsi="Times New Roman;Times;serif"/>
          <w:sz w:val="20"/>
        </w:rPr>
        <w:t>.</w:t>
      </w:r>
    </w:p>
    <w:p>
      <w:pPr>
        <w:pStyle w:val="TextBody"/>
        <w:bidi w:val="0"/>
        <w:spacing w:lineRule="auto" w:line="285" w:before="0" w:after="0"/>
        <w:ind w:left="0" w:right="0" w:hanging="0"/>
        <w:jc w:val="left"/>
        <w:rPr/>
      </w:pPr>
      <w:r>
        <w:rPr/>
        <w:t>​</w:t>
      </w:r>
    </w:p>
    <w:p>
      <w:pPr>
        <w:pStyle w:val="TextBody"/>
        <w:bidi w:val="0"/>
        <w:spacing w:lineRule="auto" w:line="285" w:before="0" w:after="160"/>
        <w:ind w:left="0" w:right="0" w:hanging="0"/>
        <w:jc w:val="left"/>
        <w:rPr>
          <w:rFonts w:ascii="Times New Roman;Times;serif" w:hAnsi="Times New Roman;Times;serif"/>
          <w:sz w:val="20"/>
        </w:rPr>
      </w:pPr>
      <w:bookmarkStart w:id="811" w:name="ITEM4CONTROLSANDPROCEDURES_128146"/>
      <w:bookmarkStart w:id="812" w:name="_c61c0603_23ba_4901_aad6_a0a7a3ef41c6"/>
      <w:bookmarkEnd w:id="811"/>
      <w:bookmarkEnd w:id="812"/>
      <w:r>
        <w:rPr>
          <w:rFonts w:ascii="Times New Roman;Times;serif" w:hAnsi="Times New Roman;Times;serif"/>
          <w:b/>
          <w:i w:val="false"/>
          <w:caps w:val="false"/>
          <w:smallCaps w:val="false"/>
          <w:sz w:val="20"/>
        </w:rPr>
        <w:t>Item 4.</w:t>
      </w:r>
      <w:r>
        <w:rPr>
          <w:rFonts w:ascii="Times New Roman;Times;serif" w:hAnsi="Times New Roman;Times;serif"/>
          <w:b/>
          <w:sz w:val="20"/>
        </w:rPr>
        <w:t>Controls and Procedures</w:t>
      </w:r>
    </w:p>
    <w:p>
      <w:pPr>
        <w:pStyle w:val="TextBody"/>
        <w:bidi w:val="0"/>
        <w:spacing w:lineRule="auto" w:line="285" w:before="0" w:after="160"/>
        <w:ind w:left="0" w:right="0" w:hanging="0"/>
        <w:jc w:val="left"/>
        <w:rPr>
          <w:rFonts w:ascii="Times New Roman;Times;serif" w:hAnsi="Times New Roman;Times;serif"/>
          <w:b/>
          <w:sz w:val="20"/>
        </w:rPr>
      </w:pPr>
      <w:r>
        <w:rPr>
          <w:rFonts w:ascii="Times New Roman;Times;serif" w:hAnsi="Times New Roman;Times;serif"/>
          <w:b/>
          <w:sz w:val="20"/>
        </w:rPr>
        <w:t>Evaluation of disclosure controls and procedures</w:t>
      </w:r>
    </w:p>
    <w:p>
      <w:pPr>
        <w:pStyle w:val="TextBody"/>
        <w:bidi w:val="0"/>
        <w:spacing w:lineRule="auto" w:line="285" w:before="160" w:after="0"/>
        <w:ind w:left="0" w:right="0" w:hanging="0"/>
        <w:jc w:val="both"/>
        <w:rPr>
          <w:rFonts w:ascii="Times New Roman;Times;serif" w:hAnsi="Times New Roman;Times;serif"/>
          <w:sz w:val="20"/>
        </w:rPr>
      </w:pPr>
      <w:r>
        <w:rPr>
          <w:rFonts w:ascii="Times New Roman;Times;serif" w:hAnsi="Times New Roman;Times;serif"/>
          <w:sz w:val="20"/>
        </w:rPr>
        <w:t>As required by Rules 13a-15(b) and 15d-15(b) under Section 21E of the Exchange Act, our management, with the participation of our principal executive officer (“PEO”) and principal financial officer (“PFO”), evaluated the effectiveness of our disclosure controls and procedures (as defined in Rules 13a-15(e) and 15d-15(e) under the Exchange Act) as of the end of the period covered by this Report. Based upon that evaluation, our PEO and PFO concluded that our disclosure controls and procedures were effective as of the end of the period covered by this Report.</w:t>
      </w:r>
    </w:p>
    <w:p>
      <w:pPr>
        <w:pStyle w:val="TextBody"/>
        <w:bidi w:val="0"/>
        <w:spacing w:lineRule="auto" w:line="285" w:before="160" w:after="0"/>
        <w:ind w:left="0" w:right="0" w:hanging="0"/>
        <w:jc w:val="both"/>
        <w:rPr>
          <w:rFonts w:ascii="Times New Roman;Times;serif" w:hAnsi="Times New Roman;Times;serif"/>
          <w:b/>
          <w:sz w:val="20"/>
        </w:rPr>
      </w:pPr>
      <w:r>
        <w:rPr>
          <w:rFonts w:ascii="Times New Roman;Times;serif" w:hAnsi="Times New Roman;Times;serif"/>
          <w:b/>
          <w:sz w:val="20"/>
        </w:rPr>
        <w:t>Inherent limitations of disclosure controls and procedures</w:t>
      </w:r>
    </w:p>
    <w:p>
      <w:pPr>
        <w:pStyle w:val="TextBody"/>
        <w:bidi w:val="0"/>
        <w:spacing w:lineRule="auto" w:line="285" w:before="160" w:after="0"/>
        <w:ind w:left="0" w:right="0" w:hanging="0"/>
        <w:jc w:val="both"/>
        <w:rPr>
          <w:rFonts w:ascii="Times New Roman;Times;serif" w:hAnsi="Times New Roman;Times;serif"/>
          <w:sz w:val="20"/>
        </w:rPr>
      </w:pPr>
      <w:r>
        <w:rPr>
          <w:rFonts w:ascii="Times New Roman;Times;serif" w:hAnsi="Times New Roman;Times;serif"/>
          <w:sz w:val="20"/>
        </w:rPr>
        <w:t xml:space="preserve">Our management, including our PEO and PFO, does not expect that our disclosure controls and procedures will prevent all errors and all fraud. A control system, no matter how well conceived and operated, can provide only reasonable, not absolute, assurance that the objectives of the control system are met. Because of the inherent limitations in all control systems, no evaluation of controls can provide absolute assurance that all control issues and instances of fraud, if any, within the Company have been detected. These inherent limitations include the realities that judgments in decision-making can be faulty, and that breakdowns can occur because of a simple error or mistake. Additionally, controls can be circumvented by the individual acts of some persons, by collusion of two or more people, or by management override of the control. The design of any system of controls is also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the policies or procedures may deteriorate. </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25</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MetaVia Inc.</w:t>
      </w:r>
    </w:p>
    <w:p>
      <w:pPr>
        <w:pStyle w:val="TextBody"/>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Form 10-Q</w:t>
      </w:r>
    </w:p>
    <w:p>
      <w:pPr>
        <w:pStyle w:val="TextBody"/>
        <w:bidi w:val="0"/>
        <w:spacing w:lineRule="auto" w:line="285" w:before="0" w:after="0"/>
        <w:ind w:left="0" w:right="0" w:hanging="0"/>
        <w:jc w:val="center"/>
        <w:rPr/>
      </w:pPr>
      <w:r>
        <w:rPr/>
        <w:t>​</w:t>
      </w:r>
    </w:p>
    <w:p>
      <w:pPr>
        <w:pStyle w:val="TextBody"/>
        <w:bidi w:val="0"/>
        <w:spacing w:lineRule="auto" w:line="285" w:before="0" w:after="0"/>
        <w:ind w:left="0" w:right="0" w:hanging="0"/>
        <w:jc w:val="both"/>
        <w:rPr>
          <w:rFonts w:ascii="Times New Roman;Times;serif" w:hAnsi="Times New Roman;Times;serif"/>
          <w:sz w:val="20"/>
        </w:rPr>
      </w:pPr>
      <w:r>
        <w:rPr>
          <w:rFonts w:ascii="Times New Roman;Times;serif" w:hAnsi="Times New Roman;Times;serif"/>
          <w:sz w:val="20"/>
        </w:rPr>
        <w:t>Because of the inherent limitations in a cost-effective control system, misstatements due to error or fraud may occur and not be detected.</w:t>
      </w:r>
    </w:p>
    <w:p>
      <w:pPr>
        <w:pStyle w:val="TextBody"/>
        <w:bidi w:val="0"/>
        <w:spacing w:lineRule="auto" w:line="285" w:before="160" w:after="0"/>
        <w:ind w:left="0" w:right="0" w:hanging="0"/>
        <w:jc w:val="both"/>
        <w:rPr>
          <w:rFonts w:ascii="Times New Roman;Times;serif" w:hAnsi="Times New Roman;Times;serif"/>
          <w:b/>
          <w:sz w:val="20"/>
        </w:rPr>
      </w:pPr>
      <w:r>
        <w:rPr>
          <w:rFonts w:ascii="Times New Roman;Times;serif" w:hAnsi="Times New Roman;Times;serif"/>
          <w:b/>
          <w:sz w:val="20"/>
        </w:rPr>
        <w:t>Changes in internal control over financial reporting</w:t>
      </w:r>
    </w:p>
    <w:p>
      <w:pPr>
        <w:pStyle w:val="TextBody"/>
        <w:bidi w:val="0"/>
        <w:spacing w:lineRule="auto" w:line="285" w:before="160" w:after="0"/>
        <w:ind w:left="0" w:right="0" w:hanging="0"/>
        <w:jc w:val="both"/>
        <w:rPr>
          <w:rFonts w:ascii="Times New Roman;Times;serif" w:hAnsi="Times New Roman;Times;serif"/>
          <w:sz w:val="20"/>
        </w:rPr>
      </w:pPr>
      <w:r>
        <w:rPr>
          <w:rFonts w:ascii="Times New Roman;Times;serif" w:hAnsi="Times New Roman;Times;serif"/>
          <w:sz w:val="20"/>
        </w:rPr>
        <w:t>There have been no changes in our internal control over financial reporting during the quarter ended June 30, 2026 that have materially affected, or are reasonably likely to materially affect, our internal control over financial reporting.</w:t>
      </w:r>
    </w:p>
    <w:p>
      <w:pPr>
        <w:pStyle w:val="TextBody"/>
        <w:bidi w:val="0"/>
        <w:spacing w:lineRule="auto" w:line="285" w:before="0" w:after="0"/>
        <w:ind w:left="0" w:right="0" w:hanging="0"/>
        <w:jc w:val="left"/>
        <w:rPr/>
      </w:pPr>
      <w:r>
        <w:rPr/>
        <w:t>​</w:t>
      </w:r>
    </w:p>
    <w:p>
      <w:pPr>
        <w:pStyle w:val="TextBody"/>
        <w:bidi w:val="0"/>
        <w:spacing w:lineRule="auto" w:line="285" w:before="0" w:after="160"/>
        <w:ind w:left="0" w:right="0" w:hanging="0"/>
        <w:jc w:val="left"/>
        <w:rPr>
          <w:rFonts w:ascii="Times New Roman;Times;serif" w:hAnsi="Times New Roman;Times;serif"/>
          <w:b/>
          <w:sz w:val="20"/>
        </w:rPr>
      </w:pPr>
      <w:bookmarkStart w:id="813" w:name="PARTIIOTHERINFORMATION_875534"/>
      <w:bookmarkStart w:id="814" w:name="_ee2aa1f8_8a8b_43ec_a22d_6e1f86b4d14f"/>
      <w:bookmarkEnd w:id="813"/>
      <w:bookmarkEnd w:id="814"/>
      <w:r>
        <w:rPr>
          <w:rFonts w:ascii="Times New Roman;Times;serif" w:hAnsi="Times New Roman;Times;serif"/>
          <w:b/>
          <w:sz w:val="20"/>
        </w:rPr>
        <w:t>Part II - Other Information</w:t>
      </w:r>
    </w:p>
    <w:p>
      <w:pPr>
        <w:pStyle w:val="TextBody"/>
        <w:bidi w:val="0"/>
        <w:spacing w:lineRule="auto" w:line="285" w:before="0" w:after="160"/>
        <w:ind w:left="0" w:right="0" w:hanging="0"/>
        <w:jc w:val="left"/>
        <w:rPr>
          <w:rFonts w:ascii="Times New Roman;Times;serif" w:hAnsi="Times New Roman;Times;serif"/>
          <w:sz w:val="20"/>
        </w:rPr>
      </w:pPr>
      <w:bookmarkStart w:id="815" w:name="ITEM1LEGALPROCEEDINGS_628869"/>
      <w:bookmarkStart w:id="816" w:name="_Hlk479154150"/>
      <w:bookmarkEnd w:id="815"/>
      <w:bookmarkEnd w:id="816"/>
      <w:r>
        <w:rPr>
          <w:rFonts w:ascii="Times New Roman;Times;serif" w:hAnsi="Times New Roman;Times;serif"/>
          <w:b/>
          <w:i w:val="false"/>
          <w:caps w:val="false"/>
          <w:smallCaps w:val="false"/>
          <w:sz w:val="20"/>
        </w:rPr>
        <w:t>Item 1.</w:t>
      </w:r>
      <w:r>
        <w:rPr>
          <w:rFonts w:ascii="Times New Roman;Times;serif" w:hAnsi="Times New Roman;Times;serif"/>
          <w:b/>
          <w:sz w:val="20"/>
        </w:rPr>
        <w:t>Legal Proceedings</w:t>
      </w:r>
    </w:p>
    <w:p>
      <w:pPr>
        <w:pStyle w:val="TextBody"/>
        <w:bidi w:val="0"/>
        <w:spacing w:lineRule="auto" w:line="285" w:before="0" w:after="0"/>
        <w:ind w:left="0" w:right="0" w:hanging="0"/>
        <w:jc w:val="both"/>
        <w:rPr>
          <w:rFonts w:ascii="Times New Roman;Times;serif" w:hAnsi="Times New Roman;Times;serif"/>
          <w:sz w:val="20"/>
        </w:rPr>
      </w:pPr>
      <w:r>
        <w:rPr>
          <w:rFonts w:ascii="Times New Roman;Times;serif" w:hAnsi="Times New Roman;Times;serif"/>
          <w:sz w:val="20"/>
        </w:rPr>
        <w:t>From time to time, we may be involved in various claims and legal proceedings arising out of our ordinary course of business. We are not currently a party to any claims or legal proceedings that, in the opinion of our management, are likely to have a material adverse effect on our business and unaudited condensed consolidated financial statements. Regardless of outcome, litigation can have an adverse impact on us because of defense and settlement costs, diversion of management resources and other factors.</w:t>
      </w:r>
    </w:p>
    <w:p>
      <w:pPr>
        <w:pStyle w:val="TextBody"/>
        <w:pBdr/>
        <w:bidi w:val="0"/>
        <w:spacing w:lineRule="auto" w:line="285" w:before="0" w:after="0"/>
        <w:ind w:left="0" w:right="0" w:hanging="720"/>
        <w:jc w:val="left"/>
        <w:rPr/>
      </w:pPr>
      <w:r>
        <w:rPr/>
        <w:t>​</w:t>
      </w:r>
    </w:p>
    <w:p>
      <w:pPr>
        <w:pStyle w:val="TextBody"/>
        <w:bidi w:val="0"/>
        <w:spacing w:lineRule="auto" w:line="285" w:before="0" w:after="160"/>
        <w:ind w:left="0" w:right="0" w:hanging="0"/>
        <w:jc w:val="left"/>
        <w:rPr>
          <w:rFonts w:ascii="Times New Roman;Times;serif" w:hAnsi="Times New Roman;Times;serif"/>
          <w:sz w:val="20"/>
        </w:rPr>
      </w:pPr>
      <w:bookmarkStart w:id="817" w:name="ITEM1A_RISK_FACTORS"/>
      <w:bookmarkStart w:id="818" w:name="_9245cfdf_111b_4f5c_9791_5e4d3be85930"/>
      <w:bookmarkEnd w:id="817"/>
      <w:bookmarkEnd w:id="818"/>
      <w:r>
        <w:rPr>
          <w:rFonts w:ascii="Times New Roman;Times;serif" w:hAnsi="Times New Roman;Times;serif"/>
          <w:b/>
          <w:i w:val="false"/>
          <w:caps w:val="false"/>
          <w:smallCaps w:val="false"/>
          <w:sz w:val="20"/>
        </w:rPr>
        <w:t>Item 1A.</w:t>
      </w:r>
      <w:r>
        <w:rPr>
          <w:rFonts w:ascii="Times New Roman;Times;serif" w:hAnsi="Times New Roman;Times;serif"/>
          <w:b/>
          <w:sz w:val="20"/>
        </w:rPr>
        <w:t>Risk Factors</w:t>
      </w:r>
    </w:p>
    <w:p>
      <w:pPr>
        <w:pStyle w:val="TextBody"/>
        <w:bidi w:val="0"/>
        <w:spacing w:lineRule="auto" w:line="285" w:before="0" w:after="0"/>
        <w:ind w:left="0" w:right="0" w:hanging="0"/>
        <w:jc w:val="both"/>
        <w:rPr>
          <w:rFonts w:ascii="Times New Roman;Times;serif" w:hAnsi="Times New Roman;Times;serif"/>
          <w:sz w:val="20"/>
          <w:shd w:fill="FFFFFF" w:val="clear"/>
        </w:rPr>
      </w:pPr>
      <w:r>
        <w:rPr>
          <w:rFonts w:ascii="Times New Roman;Times;serif" w:hAnsi="Times New Roman;Times;serif"/>
          <w:sz w:val="20"/>
          <w:shd w:fill="FFFFFF" w:val="clear"/>
        </w:rPr>
        <w:t>Our business, financial condition and operating results can be affected by a number of factors, whether currently known or unknown, including but not limited to those described under the heading “Risk Factors” in Part I, Item 1A of the 2025 Form 10-K, any one or more of which could, directly or indirectly, cause our actual financial condition and operating results to vary materially from past, or from anticipated future, financial condition and operating results. Any of these factors, in whole or in part, could materially and adversely affect our business, financial condition, operating results and stock price. There have been no material changes to our risk factors since the 2025 Form 10-K.</w:t>
      </w:r>
    </w:p>
    <w:p>
      <w:pPr>
        <w:pStyle w:val="TextBody"/>
        <w:bidi w:val="0"/>
        <w:spacing w:lineRule="auto" w:line="285" w:before="0" w:after="0"/>
        <w:ind w:left="0" w:right="0" w:hanging="0"/>
        <w:jc w:val="left"/>
        <w:rPr/>
      </w:pPr>
      <w:r>
        <w:rPr/>
        <w:t>​</w:t>
      </w:r>
    </w:p>
    <w:p>
      <w:pPr>
        <w:pStyle w:val="TextBody"/>
        <w:bidi w:val="0"/>
        <w:spacing w:lineRule="auto" w:line="285" w:before="0" w:after="160"/>
        <w:ind w:left="0" w:right="0" w:hanging="0"/>
        <w:jc w:val="left"/>
        <w:rPr>
          <w:rFonts w:ascii="Times New Roman;Times;serif" w:hAnsi="Times New Roman;Times;serif"/>
          <w:sz w:val="20"/>
        </w:rPr>
      </w:pPr>
      <w:bookmarkStart w:id="819" w:name="ITEM2UNREGISTEREDSALESOFEQUITY_733918"/>
      <w:bookmarkStart w:id="820" w:name="_1aa30d06_8fc1_4fbf_9523_3d973a67340c"/>
      <w:bookmarkEnd w:id="819"/>
      <w:bookmarkEnd w:id="820"/>
      <w:r>
        <w:rPr>
          <w:rFonts w:ascii="Times New Roman;Times;serif" w:hAnsi="Times New Roman;Times;serif"/>
          <w:b/>
          <w:i w:val="false"/>
          <w:caps w:val="false"/>
          <w:smallCaps w:val="false"/>
          <w:sz w:val="20"/>
        </w:rPr>
        <w:t>Item 2.</w:t>
      </w:r>
      <w:r>
        <w:rPr>
          <w:rFonts w:ascii="Times New Roman;Times;serif" w:hAnsi="Times New Roman;Times;serif"/>
          <w:b/>
          <w:sz w:val="20"/>
        </w:rPr>
        <w:t>Unregistered Sales of Equity Securities and Use of Proceeds</w:t>
      </w:r>
    </w:p>
    <w:p>
      <w:pPr>
        <w:pStyle w:val="TextBody"/>
        <w:bidi w:val="0"/>
        <w:spacing w:lineRule="auto" w:line="285" w:before="0" w:after="0"/>
        <w:ind w:left="0" w:right="0" w:hanging="0"/>
        <w:jc w:val="both"/>
        <w:rPr>
          <w:rFonts w:ascii="Times New Roman;Times;serif" w:hAnsi="Times New Roman;Times;serif"/>
          <w:sz w:val="20"/>
        </w:rPr>
      </w:pPr>
      <w:r>
        <w:rPr>
          <w:rFonts w:ascii="Times New Roman;Times;serif" w:hAnsi="Times New Roman;Times;serif"/>
          <w:sz w:val="20"/>
        </w:rPr>
        <w:t xml:space="preserve">On May 20, 2026, we issued 50,000 shares of common stock, based on a closing price of $2.89 per share on the date of issuance, to a vendor for business advisory services provided by the vendor. Based in part on the representations made by the vendor, the offer and sale of the shares of common stock was made in reliance upon the exemption from registration contained in Section 4(a)(2) of the Securities Act and/or Regulation D promulgated thereunder, as a transaction by an issuer not involving a public offering. </w:t>
      </w:r>
    </w:p>
    <w:p>
      <w:pPr>
        <w:pStyle w:val="TextBody"/>
        <w:pBdr/>
        <w:bidi w:val="0"/>
        <w:spacing w:lineRule="auto" w:line="285" w:before="0" w:after="0"/>
        <w:ind w:left="0" w:right="0" w:hanging="720"/>
        <w:jc w:val="left"/>
        <w:rPr/>
      </w:pPr>
      <w:r>
        <w:rPr/>
        <w:t>​</w:t>
      </w:r>
    </w:p>
    <w:p>
      <w:pPr>
        <w:pStyle w:val="TextBody"/>
        <w:bidi w:val="0"/>
        <w:spacing w:lineRule="auto" w:line="285" w:before="0" w:after="160"/>
        <w:ind w:left="0" w:right="0" w:hanging="0"/>
        <w:jc w:val="left"/>
        <w:rPr>
          <w:rFonts w:ascii="Times New Roman;Times;serif" w:hAnsi="Times New Roman;Times;serif"/>
          <w:sz w:val="20"/>
        </w:rPr>
      </w:pPr>
      <w:bookmarkStart w:id="821" w:name="ITEM3DEFAULTUPON_78011"/>
      <w:bookmarkStart w:id="822" w:name="_3f136506_24c6_4f56_a2f3_77176c093e03"/>
      <w:bookmarkEnd w:id="821"/>
      <w:bookmarkEnd w:id="822"/>
      <w:r>
        <w:rPr>
          <w:rFonts w:ascii="Times New Roman;Times;serif" w:hAnsi="Times New Roman;Times;serif"/>
          <w:b/>
          <w:i w:val="false"/>
          <w:caps w:val="false"/>
          <w:smallCaps w:val="false"/>
          <w:sz w:val="20"/>
        </w:rPr>
        <w:t>Item 3.</w:t>
      </w:r>
      <w:r>
        <w:rPr>
          <w:rFonts w:ascii="Times New Roman;Times;serif" w:hAnsi="Times New Roman;Times;serif"/>
          <w:b/>
          <w:sz w:val="20"/>
        </w:rPr>
        <w:t>Defaults Upon Senior Securities</w:t>
      </w:r>
    </w:p>
    <w:p>
      <w:pPr>
        <w:pStyle w:val="TextBody"/>
        <w:bidi w:val="0"/>
        <w:spacing w:lineRule="auto" w:line="285" w:before="0" w:after="0"/>
        <w:ind w:left="0" w:right="0" w:hanging="0"/>
        <w:jc w:val="both"/>
        <w:rPr>
          <w:rFonts w:ascii="Times New Roman;Times;serif" w:hAnsi="Times New Roman;Times;serif"/>
          <w:sz w:val="20"/>
        </w:rPr>
      </w:pPr>
      <w:r>
        <w:rPr>
          <w:rFonts w:ascii="Times New Roman;Times;serif" w:hAnsi="Times New Roman;Times;serif"/>
          <w:sz w:val="20"/>
        </w:rPr>
        <w:t>None.</w:t>
      </w:r>
    </w:p>
    <w:p>
      <w:pPr>
        <w:pStyle w:val="TextBody"/>
        <w:bidi w:val="0"/>
        <w:spacing w:lineRule="auto" w:line="285" w:before="0" w:after="0"/>
        <w:ind w:left="0" w:right="0" w:hanging="0"/>
        <w:jc w:val="left"/>
        <w:rPr/>
      </w:pPr>
      <w:r>
        <w:rPr/>
        <w:t>​</w:t>
      </w:r>
    </w:p>
    <w:p>
      <w:pPr>
        <w:pStyle w:val="TextBody"/>
        <w:bidi w:val="0"/>
        <w:spacing w:lineRule="auto" w:line="285" w:before="0" w:after="160"/>
        <w:ind w:left="0" w:right="0" w:hanging="0"/>
        <w:jc w:val="left"/>
        <w:rPr>
          <w:rFonts w:ascii="Times New Roman;Times;serif" w:hAnsi="Times New Roman;Times;serif"/>
          <w:sz w:val="20"/>
        </w:rPr>
      </w:pPr>
      <w:bookmarkStart w:id="823" w:name="ITEM4MINESAFETYDISCLOSURES_886185"/>
      <w:bookmarkStart w:id="824" w:name="_e19d67bd_a52e_4bc9_b239_320bbea22e12"/>
      <w:bookmarkEnd w:id="823"/>
      <w:bookmarkEnd w:id="824"/>
      <w:r>
        <w:rPr>
          <w:rFonts w:ascii="Times New Roman;Times;serif" w:hAnsi="Times New Roman;Times;serif"/>
          <w:b/>
          <w:i w:val="false"/>
          <w:caps w:val="false"/>
          <w:smallCaps w:val="false"/>
          <w:sz w:val="20"/>
        </w:rPr>
        <w:t>Item 4.</w:t>
      </w:r>
      <w:r>
        <w:rPr>
          <w:rFonts w:ascii="Times New Roman;Times;serif" w:hAnsi="Times New Roman;Times;serif"/>
          <w:b/>
          <w:sz w:val="20"/>
        </w:rPr>
        <w:t>Mine Safety Disclosures</w:t>
      </w:r>
    </w:p>
    <w:p>
      <w:pPr>
        <w:pStyle w:val="TextBody"/>
        <w:bidi w:val="0"/>
        <w:spacing w:lineRule="auto" w:line="285" w:before="0" w:after="0"/>
        <w:ind w:left="0" w:right="0" w:hanging="0"/>
        <w:jc w:val="both"/>
        <w:rPr>
          <w:rFonts w:ascii="Times New Roman;Times;serif" w:hAnsi="Times New Roman;Times;serif"/>
          <w:sz w:val="20"/>
        </w:rPr>
      </w:pPr>
      <w:r>
        <w:rPr>
          <w:rFonts w:ascii="Times New Roman;Times;serif" w:hAnsi="Times New Roman;Times;serif"/>
          <w:sz w:val="20"/>
        </w:rPr>
        <w:t>Not applicable.</w:t>
      </w:r>
    </w:p>
    <w:p>
      <w:pPr>
        <w:pStyle w:val="TextBody"/>
        <w:bidi w:val="0"/>
        <w:spacing w:lineRule="auto" w:line="285" w:before="0" w:after="0"/>
        <w:ind w:left="0" w:right="0" w:hanging="0"/>
        <w:jc w:val="both"/>
        <w:rPr/>
      </w:pPr>
      <w:r>
        <w:rPr/>
        <w:t>​</w:t>
      </w:r>
    </w:p>
    <w:p>
      <w:pPr>
        <w:pStyle w:val="TextBody"/>
        <w:pBdr/>
        <w:bidi w:val="0"/>
        <w:spacing w:lineRule="auto" w:line="285" w:before="0" w:after="0"/>
        <w:ind w:left="0" w:right="0" w:hanging="0"/>
        <w:jc w:val="left"/>
        <w:rPr>
          <w:rFonts w:ascii="Times New Roman;Times;serif" w:hAnsi="Times New Roman;Times;serif"/>
          <w:sz w:val="20"/>
        </w:rPr>
      </w:pPr>
      <w:bookmarkStart w:id="825" w:name="ITEM5OTHERINFORMATION_858772"/>
      <w:bookmarkStart w:id="826" w:name="_3c298eac_97df_4db5_9b00_b77b4e4be748"/>
      <w:bookmarkEnd w:id="825"/>
      <w:bookmarkEnd w:id="826"/>
      <w:r>
        <w:rPr>
          <w:rFonts w:ascii="Times New Roman;Times;serif" w:hAnsi="Times New Roman;Times;serif"/>
          <w:b/>
          <w:i w:val="false"/>
          <w:caps w:val="false"/>
          <w:smallCaps w:val="false"/>
          <w:sz w:val="20"/>
        </w:rPr>
        <w:t>Item 5.</w:t>
      </w:r>
      <w:r>
        <w:rPr>
          <w:rFonts w:ascii="Times New Roman;Times;serif" w:hAnsi="Times New Roman;Times;serif"/>
          <w:b/>
          <w:sz w:val="20"/>
        </w:rPr>
        <w:t>Other Information</w:t>
      </w:r>
    </w:p>
    <w:p>
      <w:pPr>
        <w:pStyle w:val="TextBody"/>
        <w:shd w:fill="FFFFFF" w:val="clear"/>
        <w:bidi w:val="0"/>
        <w:spacing w:lineRule="auto" w:line="285" w:before="0" w:after="0"/>
        <w:ind w:left="0" w:right="0" w:hanging="0"/>
        <w:jc w:val="both"/>
        <w:rPr>
          <w:rFonts w:ascii="Times New Roman;Times;serif" w:hAnsi="Times New Roman;Times;serif"/>
          <w:sz w:val="20"/>
        </w:rPr>
      </w:pPr>
      <w:r>
        <w:rPr>
          <w:rFonts w:ascii="Times New Roman;Times;serif" w:hAnsi="Times New Roman;Times;serif"/>
          <w:sz w:val="20"/>
        </w:rPr>
        <w:t>None.</w:t>
      </w:r>
    </w:p>
    <w:p>
      <w:pPr>
        <w:pStyle w:val="TextBody"/>
        <w:bidi w:val="0"/>
        <w:spacing w:lineRule="auto" w:line="285" w:before="0" w:after="0"/>
        <w:ind w:left="0" w:right="0" w:hanging="0"/>
        <w:jc w:val="left"/>
        <w:rPr/>
      </w:pPr>
      <w:r>
        <w:rPr/>
        <w:t>​</w:t>
      </w:r>
    </w:p>
    <w:p>
      <w:pPr>
        <w:pStyle w:val="TextBody"/>
        <w:bidi w:val="0"/>
        <w:spacing w:lineRule="auto" w:line="307" w:before="0" w:after="160"/>
        <w:ind w:left="0" w:right="0" w:hanging="0"/>
        <w:jc w:val="left"/>
        <w:rPr>
          <w:rFonts w:ascii="Times New Roman;Times;serif" w:hAnsi="Times New Roman;Times;serif"/>
          <w:sz w:val="20"/>
        </w:rPr>
      </w:pPr>
      <w:bookmarkStart w:id="827" w:name="EXHIBITS_650020"/>
      <w:bookmarkStart w:id="828" w:name="_519bc819_30ae_4c49_9c3f_e10174dc046a"/>
      <w:bookmarkEnd w:id="827"/>
      <w:bookmarkEnd w:id="828"/>
      <w:r>
        <w:rPr>
          <w:rFonts w:ascii="Times New Roman;Times;serif" w:hAnsi="Times New Roman;Times;serif"/>
          <w:b/>
          <w:i w:val="false"/>
          <w:caps w:val="false"/>
          <w:smallCaps w:val="false"/>
          <w:sz w:val="20"/>
        </w:rPr>
        <w:t>Item 6.</w:t>
      </w:r>
      <w:r>
        <w:rPr>
          <w:rFonts w:ascii="Times New Roman;Times;serif" w:hAnsi="Times New Roman;Times;serif"/>
          <w:b/>
          <w:sz w:val="20"/>
        </w:rPr>
        <w:t>Exhibits</w:t>
      </w:r>
    </w:p>
    <w:tbl>
      <w:tblPr>
        <w:tblW w:w="10205" w:type="dxa"/>
        <w:jc w:val="left"/>
        <w:tblInd w:w="0" w:type="dxa"/>
        <w:tblLayout w:type="fixed"/>
        <w:tblCellMar>
          <w:top w:w="0" w:type="dxa"/>
          <w:left w:w="0" w:type="dxa"/>
          <w:bottom w:w="0" w:type="dxa"/>
          <w:right w:w="0" w:type="dxa"/>
        </w:tblCellMar>
      </w:tblPr>
      <w:tblGrid>
        <w:gridCol w:w="1086"/>
        <w:gridCol w:w="346"/>
        <w:gridCol w:w="8773"/>
      </w:tblGrid>
      <w:tr>
        <w:trPr/>
        <w:tc>
          <w:tcPr>
            <w:tcW w:w="10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0">
                      <wp:simplePos x="0" y="0"/>
                      <wp:positionH relativeFrom="character">
                        <wp:align>left</wp:align>
                      </wp:positionH>
                      <wp:positionV relativeFrom="line">
                        <wp:posOffset>635</wp:posOffset>
                      </wp:positionV>
                      <wp:extent cx="689610" cy="175260"/>
                      <wp:effectExtent l="0" t="0" r="0" b="0"/>
                      <wp:wrapNone/>
                      <wp:docPr id="209" name="Frame208"/>
                      <a:graphic xmlns:a="http://schemas.openxmlformats.org/drawingml/2006/main">
                        <a:graphicData uri="http://schemas.microsoft.com/office/word/2010/wordprocessingShape">
                          <wps:wsp>
                            <wps:cNvSpPr txBox="1"/>
                            <wps:spPr>
                              <a:xfrm>
                                <a:off x="0" y="0"/>
                                <a:ext cx="6896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1">
                      <wp:simplePos x="0" y="0"/>
                      <wp:positionH relativeFrom="character">
                        <wp:align>left</wp:align>
                      </wp:positionH>
                      <wp:positionV relativeFrom="line">
                        <wp:posOffset>635</wp:posOffset>
                      </wp:positionV>
                      <wp:extent cx="219710" cy="175260"/>
                      <wp:effectExtent l="0" t="0" r="0" b="0"/>
                      <wp:wrapNone/>
                      <wp:docPr id="210" name="Frame20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877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2">
                      <wp:simplePos x="0" y="0"/>
                      <wp:positionH relativeFrom="character">
                        <wp:align>left</wp:align>
                      </wp:positionH>
                      <wp:positionV relativeFrom="line">
                        <wp:posOffset>635</wp:posOffset>
                      </wp:positionV>
                      <wp:extent cx="5570855" cy="175260"/>
                      <wp:effectExtent l="0" t="0" r="0" b="0"/>
                      <wp:wrapNone/>
                      <wp:docPr id="211" name="Frame210"/>
                      <a:graphic xmlns:a="http://schemas.openxmlformats.org/drawingml/2006/main">
                        <a:graphicData uri="http://schemas.microsoft.com/office/word/2010/wordprocessingShape">
                          <wps:wsp>
                            <wps:cNvSpPr txBox="1"/>
                            <wps:spPr>
                              <a:xfrm>
                                <a:off x="0" y="0"/>
                                <a:ext cx="557085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8.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r>
      <w:tr>
        <w:trPr/>
        <w:tc>
          <w:tcPr>
            <w:tcW w:w="1086" w:type="dxa"/>
            <w:tcBorders>
              <w:bottom w:val="single" w:sz="2" w:space="0" w:color="000000"/>
            </w:tcBorders>
            <w:tcMar>
              <w:bottom w:w="28" w:type="dxa"/>
            </w:tcMar>
            <w:vAlign w:val="center"/>
          </w:tcPr>
          <w:p>
            <w:pPr>
              <w:pStyle w:val="TableContents"/>
              <w:bidi w:val="0"/>
              <w:spacing w:lineRule="auto" w:line="304" w:before="0" w:after="40"/>
              <w:ind w:left="0" w:right="0" w:hanging="0"/>
              <w:jc w:val="left"/>
              <w:rPr>
                <w:rFonts w:ascii="Times New Roman;Times;serif" w:hAnsi="Times New Roman;Times;serif"/>
                <w:sz w:val="20"/>
              </w:rPr>
            </w:pPr>
            <w:r>
              <w:rPr>
                <w:rFonts w:ascii="Times New Roman;Times;serif" w:hAnsi="Times New Roman;Times;serif"/>
                <w:sz w:val="20"/>
              </w:rPr>
              <w:t>Exhibit Number</w:t>
            </w:r>
          </w:p>
        </w:tc>
        <w:tc>
          <w:tcPr>
            <w:tcW w:w="346" w:type="dxa"/>
            <w:tcBorders>
              <w:bottom w:val="single" w:sz="2" w:space="0" w:color="000000"/>
            </w:tcBorders>
            <w:tcMar>
              <w:bottom w:w="28" w:type="dxa"/>
            </w:tcMar>
            <w:vAlign w:val="center"/>
          </w:tcPr>
          <w:p>
            <w:pPr>
              <w:pStyle w:val="TableContents"/>
              <w:bidi w:val="0"/>
              <w:spacing w:lineRule="auto" w:line="304" w:before="0" w:after="40"/>
              <w:ind w:left="0" w:right="0" w:hanging="0"/>
              <w:jc w:val="center"/>
              <w:rPr/>
            </w:pPr>
            <w:r>
              <w:rPr/>
              <w:t>  ​ ​ ​</w:t>
            </w:r>
          </w:p>
        </w:tc>
        <w:tc>
          <w:tcPr>
            <w:tcW w:w="8773" w:type="dxa"/>
            <w:tcBorders>
              <w:bottom w:val="single" w:sz="2" w:space="0" w:color="000000"/>
            </w:tcBorders>
            <w:tcMar>
              <w:bottom w:w="28" w:type="dxa"/>
            </w:tcMar>
            <w:vAlign w:val="center"/>
          </w:tcPr>
          <w:p>
            <w:pPr>
              <w:pStyle w:val="TableContents"/>
              <w:bidi w:val="0"/>
              <w:spacing w:lineRule="auto" w:line="304" w:before="0" w:after="40"/>
              <w:ind w:left="0" w:right="0" w:hanging="0"/>
              <w:jc w:val="left"/>
              <w:rPr>
                <w:rFonts w:ascii="Times New Roman;Times;serif" w:hAnsi="Times New Roman;Times;serif"/>
                <w:sz w:val="20"/>
              </w:rPr>
            </w:pPr>
            <w:r>
              <w:rPr>
                <w:rFonts w:ascii="Times New Roman;Times;serif" w:hAnsi="Times New Roman;Times;serif"/>
                <w:sz w:val="20"/>
              </w:rPr>
              <w:t>Description of Document</w:t>
            </w:r>
          </w:p>
        </w:tc>
      </w:tr>
      <w:tr>
        <w:trPr/>
        <w:tc>
          <w:tcPr>
            <w:tcW w:w="1086" w:type="dxa"/>
            <w:tcBorders/>
            <w:shd w:fill="CCEEFF" w:val="clear"/>
            <w:vAlign w:val="center"/>
          </w:tcPr>
          <w:p>
            <w:pPr>
              <w:pStyle w:val="TableContents"/>
              <w:pBdr/>
              <w:bidi w:val="0"/>
              <w:spacing w:lineRule="auto" w:line="300" w:before="0" w:after="40"/>
              <w:ind w:left="0" w:right="0" w:hanging="0"/>
              <w:jc w:val="left"/>
              <w:rPr>
                <w:rFonts w:ascii="Times New Roman;Times;serif" w:hAnsi="Times New Roman;Times;serif"/>
                <w:sz w:val="20"/>
              </w:rPr>
            </w:pPr>
            <w:r>
              <w:rPr>
                <w:rFonts w:ascii="Times New Roman;Times;serif" w:hAnsi="Times New Roman;Times;serif"/>
                <w:sz w:val="20"/>
              </w:rPr>
              <w:t>3.1</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8773" w:type="dxa"/>
            <w:tcBorders/>
            <w:shd w:fill="CCEEFF" w:val="clear"/>
            <w:vAlign w:val="center"/>
          </w:tcPr>
          <w:p>
            <w:pPr>
              <w:pStyle w:val="TableContents"/>
              <w:bidi w:val="0"/>
              <w:spacing w:lineRule="auto" w:line="300" w:before="0" w:after="40"/>
              <w:ind w:left="0" w:right="0" w:hanging="0"/>
              <w:jc w:val="both"/>
              <w:rPr/>
            </w:pPr>
            <w:hyperlink r:id="rId3">
              <w:r>
                <w:rPr>
                  <w:rStyle w:val="InternetLink"/>
                  <w:rFonts w:ascii="Times New Roman;Times;serif" w:hAnsi="Times New Roman;Times;serif"/>
                  <w:b w:val="false"/>
                  <w:i w:val="false"/>
                  <w:caps w:val="false"/>
                  <w:smallCaps w:val="false"/>
                  <w:sz w:val="20"/>
                </w:rPr>
                <w:t>Third Amended and Restated Certificate of Incorporation of the Registrant (incorporated by reference to Exhibit 3.1 to the Registrant’s Current Report on Form 8-K, filed with the SEC on August 10, 2016).</w:t>
              </w:r>
            </w:hyperlink>
          </w:p>
        </w:tc>
      </w:tr>
    </w:tbl>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26</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MetaVia Inc.</w:t>
      </w:r>
    </w:p>
    <w:p>
      <w:pPr>
        <w:pStyle w:val="TextBody"/>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Form 10-Q</w:t>
      </w:r>
    </w:p>
    <w:p>
      <w:pPr>
        <w:pStyle w:val="TextBody"/>
        <w:bidi w:val="0"/>
        <w:spacing w:lineRule="auto" w:line="285" w:before="0" w:after="0"/>
        <w:ind w:left="0" w:right="0" w:hanging="0"/>
        <w:jc w:val="center"/>
        <w:rPr/>
      </w:pPr>
      <w:r>
        <w:rPr/>
        <w:t>​</w:t>
      </w:r>
    </w:p>
    <w:tbl>
      <w:tblPr>
        <w:tblW w:w="10205" w:type="dxa"/>
        <w:jc w:val="left"/>
        <w:tblInd w:w="0" w:type="dxa"/>
        <w:tblLayout w:type="fixed"/>
        <w:tblCellMar>
          <w:top w:w="0" w:type="dxa"/>
          <w:left w:w="0" w:type="dxa"/>
          <w:bottom w:w="0" w:type="dxa"/>
          <w:right w:w="0" w:type="dxa"/>
        </w:tblCellMar>
      </w:tblPr>
      <w:tblGrid>
        <w:gridCol w:w="696"/>
        <w:gridCol w:w="109"/>
        <w:gridCol w:w="9400"/>
      </w:tblGrid>
      <w:tr>
        <w:trPr/>
        <w:tc>
          <w:tcPr>
            <w:tcW w:w="696" w:type="dxa"/>
            <w:tcBorders/>
            <w:vAlign w:val="center"/>
          </w:tcPr>
          <w:p>
            <w:pPr>
              <w:pStyle w:val="TableContents"/>
              <w:pBdr/>
              <w:bidi w:val="0"/>
              <w:spacing w:lineRule="auto" w:line="300" w:before="0" w:after="40"/>
              <w:ind w:left="0" w:right="0" w:hanging="0"/>
              <w:jc w:val="left"/>
              <w:rPr>
                <w:rFonts w:ascii="Times New Roman;Times;serif" w:hAnsi="Times New Roman;Times;serif"/>
                <w:sz w:val="20"/>
              </w:rPr>
            </w:pPr>
            <w:r>
              <w:rPr>
                <w:rFonts w:ascii="Times New Roman;Times;serif" w:hAnsi="Times New Roman;Times;serif"/>
                <w:sz w:val="20"/>
              </w:rPr>
              <w:t>3.2</w:t>
            </w:r>
          </w:p>
        </w:tc>
        <w:tc>
          <w:tcPr>
            <w:tcW w:w="109" w:type="dxa"/>
            <w:tcBorders/>
            <w:vAlign w:val="center"/>
          </w:tcPr>
          <w:p>
            <w:pPr>
              <w:pStyle w:val="TableContents"/>
              <w:bidi w:val="0"/>
              <w:spacing w:lineRule="auto" w:line="285" w:before="0" w:after="0"/>
              <w:ind w:left="0" w:right="0" w:hanging="0"/>
              <w:jc w:val="left"/>
              <w:rPr/>
            </w:pPr>
            <w:r>
              <w:rPr/>
              <w:t>​</w:t>
            </w:r>
          </w:p>
        </w:tc>
        <w:tc>
          <w:tcPr>
            <w:tcW w:w="9400" w:type="dxa"/>
            <w:tcBorders/>
            <w:vAlign w:val="center"/>
          </w:tcPr>
          <w:p>
            <w:pPr>
              <w:pStyle w:val="TableContents"/>
              <w:bidi w:val="0"/>
              <w:spacing w:lineRule="auto" w:line="300" w:before="0" w:after="40"/>
              <w:ind w:left="0" w:right="0" w:hanging="0"/>
              <w:jc w:val="both"/>
              <w:rPr/>
            </w:pPr>
            <w:hyperlink r:id="rId4">
              <w:r>
                <w:rPr>
                  <w:rStyle w:val="InternetLink"/>
                  <w:rFonts w:ascii="Times New Roman;Times;serif" w:hAnsi="Times New Roman;Times;serif"/>
                  <w:b w:val="false"/>
                  <w:i w:val="false"/>
                  <w:caps w:val="false"/>
                  <w:smallCaps w:val="false"/>
                  <w:sz w:val="20"/>
                </w:rPr>
                <w:t>Certificate of Amendment (Reverse Stock Split) to the Third Amended and Restated Certificate of Incorporation of the Registrant (incorporated by reference to Exhibit 3.1 to the Registrant’s Current Report on Form 8-K, filed with the SEC on December 31, 2019).</w:t>
              </w:r>
            </w:hyperlink>
          </w:p>
        </w:tc>
      </w:tr>
      <w:tr>
        <w:trPr/>
        <w:tc>
          <w:tcPr>
            <w:tcW w:w="696" w:type="dxa"/>
            <w:tcBorders/>
            <w:shd w:fill="CCEEFF" w:val="clear"/>
            <w:vAlign w:val="center"/>
          </w:tcPr>
          <w:p>
            <w:pPr>
              <w:pStyle w:val="TableContents"/>
              <w:pBdr/>
              <w:bidi w:val="0"/>
              <w:spacing w:lineRule="auto" w:line="300" w:before="0" w:after="40"/>
              <w:ind w:left="0" w:right="0" w:hanging="0"/>
              <w:jc w:val="left"/>
              <w:rPr>
                <w:rFonts w:ascii="Times New Roman;Times;serif" w:hAnsi="Times New Roman;Times;serif"/>
                <w:sz w:val="20"/>
              </w:rPr>
            </w:pPr>
            <w:r>
              <w:rPr>
                <w:rFonts w:ascii="Times New Roman;Times;serif" w:hAnsi="Times New Roman;Times;serif"/>
                <w:sz w:val="20"/>
              </w:rPr>
              <w:t>3.3</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9400" w:type="dxa"/>
            <w:tcBorders/>
            <w:shd w:fill="CCEEFF" w:val="clear"/>
            <w:vAlign w:val="center"/>
          </w:tcPr>
          <w:p>
            <w:pPr>
              <w:pStyle w:val="TableContents"/>
              <w:bidi w:val="0"/>
              <w:spacing w:lineRule="auto" w:line="300" w:before="0" w:after="40"/>
              <w:ind w:left="0" w:right="0" w:hanging="0"/>
              <w:jc w:val="both"/>
              <w:rPr/>
            </w:pPr>
            <w:hyperlink r:id="rId5">
              <w:r>
                <w:rPr>
                  <w:rStyle w:val="InternetLink"/>
                  <w:rFonts w:ascii="Times New Roman;Times;serif" w:hAnsi="Times New Roman;Times;serif"/>
                  <w:b w:val="false"/>
                  <w:i w:val="false"/>
                  <w:caps w:val="false"/>
                  <w:smallCaps w:val="false"/>
                  <w:sz w:val="20"/>
                </w:rPr>
                <w:t>Certificate of Amendment (Name Change) to the Third Amended and Restated Certificate of Incorporation of the Registrant (incorporated by reference to Exhibit 3.2 to the Registrant’s Current Report on Form 8-K, filed with the SEC on December 31, 2019).</w:t>
              </w:r>
            </w:hyperlink>
          </w:p>
        </w:tc>
      </w:tr>
      <w:tr>
        <w:trPr/>
        <w:tc>
          <w:tcPr>
            <w:tcW w:w="696" w:type="dxa"/>
            <w:tcBorders/>
            <w:vAlign w:val="center"/>
          </w:tcPr>
          <w:p>
            <w:pPr>
              <w:pStyle w:val="TableContents"/>
              <w:pBdr/>
              <w:bidi w:val="0"/>
              <w:spacing w:lineRule="auto" w:line="300" w:before="0" w:after="40"/>
              <w:ind w:left="0" w:right="0" w:hanging="0"/>
              <w:jc w:val="left"/>
              <w:rPr>
                <w:rFonts w:ascii="Times New Roman;Times;serif" w:hAnsi="Times New Roman;Times;serif"/>
                <w:sz w:val="20"/>
              </w:rPr>
            </w:pPr>
            <w:r>
              <w:rPr>
                <w:rFonts w:ascii="Times New Roman;Times;serif" w:hAnsi="Times New Roman;Times;serif"/>
                <w:sz w:val="20"/>
              </w:rPr>
              <w:t>3.4</w:t>
            </w:r>
          </w:p>
        </w:tc>
        <w:tc>
          <w:tcPr>
            <w:tcW w:w="109" w:type="dxa"/>
            <w:tcBorders/>
            <w:vAlign w:val="center"/>
          </w:tcPr>
          <w:p>
            <w:pPr>
              <w:pStyle w:val="TableContents"/>
              <w:bidi w:val="0"/>
              <w:spacing w:lineRule="auto" w:line="285" w:before="0" w:after="0"/>
              <w:ind w:left="0" w:right="0" w:hanging="0"/>
              <w:jc w:val="left"/>
              <w:rPr/>
            </w:pPr>
            <w:r>
              <w:rPr/>
              <w:t>​</w:t>
            </w:r>
          </w:p>
        </w:tc>
        <w:tc>
          <w:tcPr>
            <w:tcW w:w="9400" w:type="dxa"/>
            <w:tcBorders/>
            <w:vAlign w:val="center"/>
          </w:tcPr>
          <w:p>
            <w:pPr>
              <w:pStyle w:val="TableContents"/>
              <w:bidi w:val="0"/>
              <w:spacing w:lineRule="auto" w:line="300" w:before="0" w:after="40"/>
              <w:ind w:left="0" w:right="0" w:hanging="0"/>
              <w:jc w:val="both"/>
              <w:rPr/>
            </w:pPr>
            <w:hyperlink r:id="rId6">
              <w:r>
                <w:rPr>
                  <w:rStyle w:val="InternetLink"/>
                  <w:rFonts w:ascii="Times New Roman;Times;serif" w:hAnsi="Times New Roman;Times;serif"/>
                  <w:b w:val="false"/>
                  <w:i w:val="false"/>
                  <w:caps w:val="false"/>
                  <w:smallCaps w:val="false"/>
                  <w:sz w:val="20"/>
                </w:rPr>
                <w:t>Certificate of Amendment (Reverse Stock Split) to the Third Amended and Restated Certificate of Incorporation of the Registrant (incorporated by reference to Exhibit 3.1 to the Registrant’s Current Report on Form 8-K, filed with the SEC on September 12, 2022).</w:t>
              </w:r>
            </w:hyperlink>
          </w:p>
        </w:tc>
      </w:tr>
      <w:tr>
        <w:trPr/>
        <w:tc>
          <w:tcPr>
            <w:tcW w:w="696" w:type="dxa"/>
            <w:tcBorders/>
            <w:shd w:fill="CCEEFF" w:val="clear"/>
            <w:vAlign w:val="center"/>
          </w:tcPr>
          <w:p>
            <w:pPr>
              <w:pStyle w:val="TableContents"/>
              <w:pBdr/>
              <w:bidi w:val="0"/>
              <w:spacing w:lineRule="auto" w:line="300" w:before="0" w:after="40"/>
              <w:ind w:left="0" w:right="0" w:hanging="0"/>
              <w:jc w:val="left"/>
              <w:rPr>
                <w:rFonts w:ascii="Times New Roman;Times;serif" w:hAnsi="Times New Roman;Times;serif"/>
                <w:sz w:val="20"/>
              </w:rPr>
            </w:pPr>
            <w:r>
              <w:rPr>
                <w:rFonts w:ascii="Times New Roman;Times;serif" w:hAnsi="Times New Roman;Times;serif"/>
                <w:sz w:val="20"/>
              </w:rPr>
              <w:t>3.5</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9400" w:type="dxa"/>
            <w:tcBorders/>
            <w:shd w:fill="CCEEFF" w:val="clear"/>
            <w:vAlign w:val="center"/>
          </w:tcPr>
          <w:p>
            <w:pPr>
              <w:pStyle w:val="TableContents"/>
              <w:bidi w:val="0"/>
              <w:spacing w:lineRule="auto" w:line="300" w:before="0" w:after="40"/>
              <w:ind w:left="0" w:right="0" w:hanging="0"/>
              <w:jc w:val="both"/>
              <w:rPr/>
            </w:pPr>
            <w:hyperlink r:id="rId7">
              <w:r>
                <w:rPr>
                  <w:rStyle w:val="InternetLink"/>
                  <w:rFonts w:ascii="Times New Roman;Times;serif" w:hAnsi="Times New Roman;Times;serif"/>
                  <w:b w:val="false"/>
                  <w:i w:val="false"/>
                  <w:caps w:val="false"/>
                  <w:smallCaps w:val="false"/>
                  <w:sz w:val="20"/>
                </w:rPr>
                <w:t>Certificate of Amendment to the Third Amended and Restated Certificate of Incorporation of the Registrant (incorporated by reference to Exhibit 3.1 to the Registrant’s Current Report on Form 8-K, filed with the SEC on December 19, 2023).</w:t>
              </w:r>
            </w:hyperlink>
          </w:p>
        </w:tc>
      </w:tr>
      <w:tr>
        <w:trPr/>
        <w:tc>
          <w:tcPr>
            <w:tcW w:w="696" w:type="dxa"/>
            <w:tcBorders/>
            <w:vAlign w:val="center"/>
          </w:tcPr>
          <w:p>
            <w:pPr>
              <w:pStyle w:val="TableContents"/>
              <w:pBdr/>
              <w:bidi w:val="0"/>
              <w:spacing w:lineRule="auto" w:line="300" w:before="0" w:after="40"/>
              <w:ind w:left="0" w:right="0" w:hanging="0"/>
              <w:jc w:val="left"/>
              <w:rPr>
                <w:rFonts w:ascii="Times New Roman;Times;serif" w:hAnsi="Times New Roman;Times;serif"/>
                <w:sz w:val="20"/>
              </w:rPr>
            </w:pPr>
            <w:r>
              <w:rPr>
                <w:rFonts w:ascii="Times New Roman;Times;serif" w:hAnsi="Times New Roman;Times;serif"/>
                <w:sz w:val="20"/>
              </w:rPr>
              <w:t>3.6</w:t>
            </w:r>
          </w:p>
        </w:tc>
        <w:tc>
          <w:tcPr>
            <w:tcW w:w="109" w:type="dxa"/>
            <w:tcBorders/>
            <w:vAlign w:val="center"/>
          </w:tcPr>
          <w:p>
            <w:pPr>
              <w:pStyle w:val="TableContents"/>
              <w:bidi w:val="0"/>
              <w:spacing w:lineRule="auto" w:line="285" w:before="0" w:after="0"/>
              <w:ind w:left="0" w:right="0" w:hanging="0"/>
              <w:jc w:val="left"/>
              <w:rPr/>
            </w:pPr>
            <w:r>
              <w:rPr/>
              <w:t>​</w:t>
            </w:r>
          </w:p>
        </w:tc>
        <w:tc>
          <w:tcPr>
            <w:tcW w:w="9400" w:type="dxa"/>
            <w:tcBorders/>
            <w:vAlign w:val="center"/>
          </w:tcPr>
          <w:p>
            <w:pPr>
              <w:pStyle w:val="TableContents"/>
              <w:bidi w:val="0"/>
              <w:spacing w:lineRule="auto" w:line="300" w:before="0" w:after="40"/>
              <w:ind w:left="0" w:right="0" w:hanging="0"/>
              <w:jc w:val="both"/>
              <w:rPr/>
            </w:pPr>
            <w:hyperlink r:id="rId8">
              <w:r>
                <w:rPr>
                  <w:rStyle w:val="InternetLink"/>
                  <w:rFonts w:ascii="Times New Roman;Times;serif" w:hAnsi="Times New Roman;Times;serif"/>
                  <w:b w:val="false"/>
                  <w:i w:val="false"/>
                  <w:caps w:val="false"/>
                  <w:smallCaps w:val="false"/>
                  <w:sz w:val="20"/>
                </w:rPr>
                <w:t>Certificate of Amendment (Name Change) to the Third Amended and Restated Certificate of Incorporation of the Registrant (incorporated by reference to Exhibit 3.1 to the Registrant’s Current Report on Form 8-K, filed with the SEC on November 18, 2024).</w:t>
              </w:r>
            </w:hyperlink>
          </w:p>
        </w:tc>
      </w:tr>
      <w:tr>
        <w:trPr/>
        <w:tc>
          <w:tcPr>
            <w:tcW w:w="696" w:type="dxa"/>
            <w:tcBorders/>
            <w:shd w:fill="CCEEFF" w:val="clear"/>
            <w:vAlign w:val="center"/>
          </w:tcPr>
          <w:p>
            <w:pPr>
              <w:pStyle w:val="TableContents"/>
              <w:pBdr/>
              <w:bidi w:val="0"/>
              <w:spacing w:lineRule="auto" w:line="300" w:before="0" w:after="40"/>
              <w:ind w:left="0" w:right="0" w:hanging="0"/>
              <w:jc w:val="left"/>
              <w:rPr>
                <w:rFonts w:ascii="Times New Roman;Times;serif" w:hAnsi="Times New Roman;Times;serif"/>
                <w:sz w:val="20"/>
              </w:rPr>
            </w:pPr>
            <w:r>
              <w:rPr>
                <w:rFonts w:ascii="Times New Roman;Times;serif" w:hAnsi="Times New Roman;Times;serif"/>
                <w:sz w:val="20"/>
              </w:rPr>
              <w:t>3.7</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9400" w:type="dxa"/>
            <w:tcBorders/>
            <w:shd w:fill="CCEEFF" w:val="clear"/>
            <w:vAlign w:val="center"/>
          </w:tcPr>
          <w:p>
            <w:pPr>
              <w:pStyle w:val="TableContents"/>
              <w:bidi w:val="0"/>
              <w:spacing w:lineRule="auto" w:line="300" w:before="0" w:after="40"/>
              <w:ind w:left="0" w:right="0" w:hanging="0"/>
              <w:jc w:val="both"/>
              <w:rPr/>
            </w:pPr>
            <w:hyperlink r:id="rId9">
              <w:r>
                <w:rPr>
                  <w:rStyle w:val="InternetLink"/>
                  <w:rFonts w:ascii="Times New Roman;Times;serif" w:hAnsi="Times New Roman;Times;serif"/>
                  <w:b w:val="false"/>
                  <w:i w:val="false"/>
                  <w:caps w:val="false"/>
                  <w:smallCaps w:val="false"/>
                  <w:sz w:val="20"/>
                </w:rPr>
                <w:t>Certificate of Amendment (Reverse Stock Split) to the Third Amended and Restated Certificate of Incorporation of the Registrant (incorporated by reference to Exhibit 3.1 to the Registrant’s Current Report on Form 8-K, filed with the SEC on December 2, 2025).</w:t>
              </w:r>
            </w:hyperlink>
          </w:p>
        </w:tc>
      </w:tr>
      <w:tr>
        <w:trPr/>
        <w:tc>
          <w:tcPr>
            <w:tcW w:w="696" w:type="dxa"/>
            <w:tcBorders/>
            <w:vAlign w:val="center"/>
          </w:tcPr>
          <w:p>
            <w:pPr>
              <w:pStyle w:val="TableContents"/>
              <w:pBdr/>
              <w:bidi w:val="0"/>
              <w:spacing w:lineRule="auto" w:line="300" w:before="0" w:after="40"/>
              <w:ind w:left="0" w:right="0" w:hanging="0"/>
              <w:jc w:val="left"/>
              <w:rPr>
                <w:rFonts w:ascii="Times New Roman;Times;serif" w:hAnsi="Times New Roman;Times;serif"/>
                <w:sz w:val="20"/>
              </w:rPr>
            </w:pPr>
            <w:r>
              <w:rPr>
                <w:rFonts w:ascii="Times New Roman;Times;serif" w:hAnsi="Times New Roman;Times;serif"/>
                <w:sz w:val="20"/>
              </w:rPr>
              <w:t>3.8</w:t>
            </w:r>
          </w:p>
        </w:tc>
        <w:tc>
          <w:tcPr>
            <w:tcW w:w="109" w:type="dxa"/>
            <w:tcBorders/>
            <w:vAlign w:val="center"/>
          </w:tcPr>
          <w:p>
            <w:pPr>
              <w:pStyle w:val="TableContents"/>
              <w:bidi w:val="0"/>
              <w:spacing w:lineRule="auto" w:line="285" w:before="0" w:after="0"/>
              <w:ind w:left="0" w:right="0" w:hanging="0"/>
              <w:jc w:val="left"/>
              <w:rPr/>
            </w:pPr>
            <w:r>
              <w:rPr/>
              <w:t>​</w:t>
            </w:r>
          </w:p>
        </w:tc>
        <w:tc>
          <w:tcPr>
            <w:tcW w:w="9400" w:type="dxa"/>
            <w:tcBorders/>
            <w:vAlign w:val="center"/>
          </w:tcPr>
          <w:p>
            <w:pPr>
              <w:pStyle w:val="TableContents"/>
              <w:bidi w:val="0"/>
              <w:spacing w:lineRule="auto" w:line="300" w:before="0" w:after="40"/>
              <w:ind w:left="0" w:right="0" w:hanging="0"/>
              <w:jc w:val="both"/>
              <w:rPr/>
            </w:pPr>
            <w:hyperlink r:id="rId10">
              <w:r>
                <w:rPr>
                  <w:rStyle w:val="InternetLink"/>
                  <w:rFonts w:ascii="Times New Roman;Times;serif" w:hAnsi="Times New Roman;Times;serif"/>
                  <w:b w:val="false"/>
                  <w:i w:val="false"/>
                  <w:caps w:val="false"/>
                  <w:smallCaps w:val="false"/>
                  <w:sz w:val="20"/>
                </w:rPr>
                <w:t>Fourth Amended and Restated Bylaws of the Registrant (incorporated by reference to Exhibit 3.2 to the Registrant’s Current Report on Form 8-K, filed with the SEC on November 18, 2024).</w:t>
              </w:r>
            </w:hyperlink>
          </w:p>
        </w:tc>
      </w:tr>
      <w:tr>
        <w:trPr/>
        <w:tc>
          <w:tcPr>
            <w:tcW w:w="696" w:type="dxa"/>
            <w:tcBorders/>
            <w:shd w:fill="CCEEFF" w:val="clear"/>
            <w:vAlign w:val="center"/>
          </w:tcPr>
          <w:p>
            <w:pPr>
              <w:pStyle w:val="TableContents"/>
              <w:pBdr/>
              <w:bidi w:val="0"/>
              <w:spacing w:lineRule="auto" w:line="300" w:before="0" w:after="40"/>
              <w:ind w:left="0" w:right="0" w:hanging="0"/>
              <w:jc w:val="left"/>
              <w:rPr>
                <w:rFonts w:ascii="Times New Roman;Times;serif" w:hAnsi="Times New Roman;Times;serif"/>
                <w:sz w:val="20"/>
              </w:rPr>
            </w:pPr>
            <w:r>
              <w:rPr>
                <w:rFonts w:ascii="Times New Roman;Times;serif" w:hAnsi="Times New Roman;Times;serif"/>
                <w:sz w:val="20"/>
              </w:rPr>
              <w:t>10.1#*</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9400" w:type="dxa"/>
            <w:tcBorders/>
            <w:shd w:fill="CCEEFF" w:val="clear"/>
            <w:vAlign w:val="center"/>
          </w:tcPr>
          <w:p>
            <w:pPr>
              <w:pStyle w:val="TableContents"/>
              <w:bidi w:val="0"/>
              <w:spacing w:lineRule="auto" w:line="300" w:before="0" w:after="40"/>
              <w:ind w:left="0" w:right="0" w:hanging="0"/>
              <w:jc w:val="both"/>
              <w:rPr/>
            </w:pPr>
            <w:hyperlink w:anchor="mtva-20260630xex10d1.htm">
              <w:r>
                <w:rPr>
                  <w:rStyle w:val="InternetLink"/>
                  <w:rFonts w:ascii="Times New Roman;Times;serif" w:hAnsi="Times New Roman;Times;serif"/>
                  <w:b w:val="false"/>
                  <w:i w:val="false"/>
                  <w:caps w:val="false"/>
                  <w:smallCaps w:val="false"/>
                  <w:sz w:val="20"/>
                </w:rPr>
                <w:t>Amended and Restated Non-Employee Director Compensation Policy, dated May 7, 2024, as amended November 29, 2024 and June 8, 2026.</w:t>
              </w:r>
            </w:hyperlink>
          </w:p>
        </w:tc>
      </w:tr>
      <w:tr>
        <w:trPr/>
        <w:tc>
          <w:tcPr>
            <w:tcW w:w="696" w:type="dxa"/>
            <w:tcBorders/>
            <w:vAlign w:val="center"/>
          </w:tcPr>
          <w:p>
            <w:pPr>
              <w:pStyle w:val="TableContents"/>
              <w:pBdr/>
              <w:bidi w:val="0"/>
              <w:spacing w:lineRule="auto" w:line="300" w:before="0" w:after="40"/>
              <w:ind w:left="0" w:right="0" w:hanging="0"/>
              <w:jc w:val="left"/>
              <w:rPr>
                <w:rFonts w:ascii="Times New Roman;Times;serif" w:hAnsi="Times New Roman;Times;serif"/>
                <w:sz w:val="20"/>
              </w:rPr>
            </w:pPr>
            <w:r>
              <w:rPr>
                <w:rFonts w:ascii="Times New Roman;Times;serif" w:hAnsi="Times New Roman;Times;serif"/>
                <w:sz w:val="20"/>
              </w:rPr>
              <w:t>10.2</w:t>
            </w:r>
          </w:p>
        </w:tc>
        <w:tc>
          <w:tcPr>
            <w:tcW w:w="109" w:type="dxa"/>
            <w:tcBorders/>
            <w:vAlign w:val="center"/>
          </w:tcPr>
          <w:p>
            <w:pPr>
              <w:pStyle w:val="TableContents"/>
              <w:bidi w:val="0"/>
              <w:spacing w:lineRule="auto" w:line="285" w:before="0" w:after="0"/>
              <w:ind w:left="0" w:right="0" w:hanging="0"/>
              <w:jc w:val="left"/>
              <w:rPr/>
            </w:pPr>
            <w:r>
              <w:rPr/>
              <w:t>​</w:t>
            </w:r>
          </w:p>
        </w:tc>
        <w:tc>
          <w:tcPr>
            <w:tcW w:w="9400" w:type="dxa"/>
            <w:tcBorders/>
            <w:vAlign w:val="center"/>
          </w:tcPr>
          <w:p>
            <w:pPr>
              <w:pStyle w:val="TableContents"/>
              <w:bidi w:val="0"/>
              <w:spacing w:lineRule="auto" w:line="300" w:before="0" w:after="40"/>
              <w:ind w:left="0" w:right="0" w:hanging="0"/>
              <w:jc w:val="both"/>
              <w:rPr/>
            </w:pPr>
            <w:hyperlink r:id="rId11">
              <w:r>
                <w:rPr>
                  <w:rStyle w:val="InternetLink"/>
                  <w:rFonts w:ascii="Times New Roman;Times;serif" w:hAnsi="Times New Roman;Times;serif"/>
                  <w:b w:val="false"/>
                  <w:i w:val="false"/>
                  <w:caps w:val="false"/>
                  <w:smallCaps w:val="false"/>
                  <w:sz w:val="20"/>
                </w:rPr>
                <w:t>First Amendment to the Registrant’s Amended and Restated 2022 Equity Incentive Plan (incorporated by reference to Exhibit 10.1 to the Registrant’s Current Report on Form 8-K, filed with the SEC on June 8, 2026).</w:t>
              </w:r>
            </w:hyperlink>
          </w:p>
        </w:tc>
      </w:tr>
      <w:tr>
        <w:trPr/>
        <w:tc>
          <w:tcPr>
            <w:tcW w:w="696" w:type="dxa"/>
            <w:tcBorders/>
            <w:shd w:fill="CCEEFF" w:val="clear"/>
            <w:vAlign w:val="center"/>
          </w:tcPr>
          <w:p>
            <w:pPr>
              <w:pStyle w:val="TableContents"/>
              <w:pBdr/>
              <w:bidi w:val="0"/>
              <w:spacing w:lineRule="auto" w:line="300" w:before="0" w:after="40"/>
              <w:ind w:left="0" w:right="0" w:hanging="0"/>
              <w:jc w:val="left"/>
              <w:rPr>
                <w:rFonts w:ascii="Times New Roman;Times;serif" w:hAnsi="Times New Roman;Times;serif"/>
                <w:sz w:val="20"/>
              </w:rPr>
            </w:pPr>
            <w:r>
              <w:rPr>
                <w:rFonts w:ascii="Times New Roman;Times;serif" w:hAnsi="Times New Roman;Times;serif"/>
                <w:sz w:val="20"/>
              </w:rPr>
              <w:t>31.1*</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9400" w:type="dxa"/>
            <w:tcBorders/>
            <w:shd w:fill="CCEEFF" w:val="clear"/>
            <w:vAlign w:val="center"/>
          </w:tcPr>
          <w:p>
            <w:pPr>
              <w:pStyle w:val="TableContents"/>
              <w:bidi w:val="0"/>
              <w:spacing w:lineRule="auto" w:line="300" w:before="0" w:after="40"/>
              <w:ind w:left="0" w:right="0" w:hanging="0"/>
              <w:jc w:val="both"/>
              <w:rPr/>
            </w:pPr>
            <w:hyperlink w:anchor="mtva-20260630xex31d1.htm">
              <w:r>
                <w:rPr>
                  <w:rStyle w:val="InternetLink"/>
                  <w:rFonts w:ascii="Times New Roman;Times;serif" w:hAnsi="Times New Roman;Times;serif"/>
                  <w:b w:val="false"/>
                  <w:i w:val="false"/>
                  <w:caps w:val="false"/>
                  <w:smallCaps w:val="false"/>
                  <w:sz w:val="20"/>
                </w:rPr>
                <w:t>Certification of Principal Executive Officer Pursuant to Exchange Act Rule 13a-14(a) or 15d-14(a), as Adopted Pursuant to Section 302 of the Sarbanes-Oxley Act of 2002.</w:t>
              </w:r>
            </w:hyperlink>
          </w:p>
        </w:tc>
      </w:tr>
      <w:tr>
        <w:trPr/>
        <w:tc>
          <w:tcPr>
            <w:tcW w:w="696" w:type="dxa"/>
            <w:tcBorders/>
            <w:vAlign w:val="center"/>
          </w:tcPr>
          <w:p>
            <w:pPr>
              <w:pStyle w:val="TableContents"/>
              <w:pBdr/>
              <w:bidi w:val="0"/>
              <w:spacing w:lineRule="auto" w:line="300" w:before="0" w:after="40"/>
              <w:ind w:left="0" w:right="0" w:hanging="0"/>
              <w:jc w:val="left"/>
              <w:rPr>
                <w:rFonts w:ascii="Times New Roman;Times;serif" w:hAnsi="Times New Roman;Times;serif"/>
                <w:sz w:val="20"/>
              </w:rPr>
            </w:pPr>
            <w:r>
              <w:rPr>
                <w:rFonts w:ascii="Times New Roman;Times;serif" w:hAnsi="Times New Roman;Times;serif"/>
                <w:sz w:val="20"/>
              </w:rPr>
              <w:t>31.2*</w:t>
            </w:r>
          </w:p>
        </w:tc>
        <w:tc>
          <w:tcPr>
            <w:tcW w:w="109" w:type="dxa"/>
            <w:tcBorders/>
            <w:vAlign w:val="center"/>
          </w:tcPr>
          <w:p>
            <w:pPr>
              <w:pStyle w:val="TableContents"/>
              <w:bidi w:val="0"/>
              <w:spacing w:lineRule="auto" w:line="285" w:before="0" w:after="0"/>
              <w:ind w:left="0" w:right="0" w:hanging="0"/>
              <w:jc w:val="left"/>
              <w:rPr/>
            </w:pPr>
            <w:r>
              <w:rPr/>
              <w:t>​</w:t>
            </w:r>
          </w:p>
        </w:tc>
        <w:tc>
          <w:tcPr>
            <w:tcW w:w="9400" w:type="dxa"/>
            <w:tcBorders/>
            <w:vAlign w:val="center"/>
          </w:tcPr>
          <w:p>
            <w:pPr>
              <w:pStyle w:val="TableContents"/>
              <w:bidi w:val="0"/>
              <w:spacing w:lineRule="auto" w:line="300" w:before="0" w:after="40"/>
              <w:ind w:left="0" w:right="0" w:hanging="0"/>
              <w:jc w:val="both"/>
              <w:rPr/>
            </w:pPr>
            <w:hyperlink w:anchor="mtva-20260630xex31d2.htm">
              <w:r>
                <w:rPr>
                  <w:rStyle w:val="InternetLink"/>
                  <w:rFonts w:ascii="Times New Roman;Times;serif" w:hAnsi="Times New Roman;Times;serif"/>
                  <w:b w:val="false"/>
                  <w:i w:val="false"/>
                  <w:caps w:val="false"/>
                  <w:smallCaps w:val="false"/>
                  <w:sz w:val="20"/>
                </w:rPr>
                <w:t>Certification of Principal Financial Officer Pursuant to Exchange Act Rule 13a-14(a) or 15d-14(a), as Adopted Pursuant to Section 302 of the Sarbanes-Oxley Act of 2002.</w:t>
              </w:r>
            </w:hyperlink>
          </w:p>
        </w:tc>
      </w:tr>
      <w:tr>
        <w:trPr/>
        <w:tc>
          <w:tcPr>
            <w:tcW w:w="696" w:type="dxa"/>
            <w:tcBorders/>
            <w:shd w:fill="CCEEFF" w:val="clear"/>
            <w:vAlign w:val="center"/>
          </w:tcPr>
          <w:p>
            <w:pPr>
              <w:pStyle w:val="TableContents"/>
              <w:pBdr/>
              <w:bidi w:val="0"/>
              <w:spacing w:lineRule="auto" w:line="300" w:before="0" w:after="40"/>
              <w:ind w:left="0" w:right="0" w:hanging="0"/>
              <w:jc w:val="left"/>
              <w:rPr>
                <w:rFonts w:ascii="Times New Roman;Times;serif" w:hAnsi="Times New Roman;Times;serif"/>
                <w:sz w:val="20"/>
              </w:rPr>
            </w:pPr>
            <w:r>
              <w:rPr>
                <w:rFonts w:ascii="Times New Roman;Times;serif" w:hAnsi="Times New Roman;Times;serif"/>
                <w:sz w:val="20"/>
              </w:rPr>
              <w:t>32.1**</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9400" w:type="dxa"/>
            <w:tcBorders/>
            <w:shd w:fill="CCEEFF" w:val="clear"/>
            <w:vAlign w:val="center"/>
          </w:tcPr>
          <w:p>
            <w:pPr>
              <w:pStyle w:val="TableContents"/>
              <w:bidi w:val="0"/>
              <w:spacing w:lineRule="auto" w:line="300" w:before="0" w:after="40"/>
              <w:ind w:left="0" w:right="0" w:hanging="0"/>
              <w:jc w:val="both"/>
              <w:rPr/>
            </w:pPr>
            <w:hyperlink w:anchor="mtva-20260630xex32d1.htm">
              <w:r>
                <w:rPr>
                  <w:rStyle w:val="InternetLink"/>
                  <w:rFonts w:ascii="Times New Roman;Times;serif" w:hAnsi="Times New Roman;Times;serif"/>
                  <w:b w:val="false"/>
                  <w:i w:val="false"/>
                  <w:caps w:val="false"/>
                  <w:smallCaps w:val="false"/>
                  <w:sz w:val="20"/>
                </w:rPr>
                <w:t>Certification of Principal Executive Officer Pursuant to 18 U.S.C. Section 1350, as Adopted Pursuant to Section 906 of the Sarbanes-Oxley Act of 2002.</w:t>
              </w:r>
            </w:hyperlink>
          </w:p>
        </w:tc>
      </w:tr>
      <w:tr>
        <w:trPr/>
        <w:tc>
          <w:tcPr>
            <w:tcW w:w="696" w:type="dxa"/>
            <w:tcBorders/>
            <w:vAlign w:val="center"/>
          </w:tcPr>
          <w:p>
            <w:pPr>
              <w:pStyle w:val="TableContents"/>
              <w:pBdr/>
              <w:bidi w:val="0"/>
              <w:spacing w:lineRule="auto" w:line="300" w:before="0" w:after="40"/>
              <w:ind w:left="0" w:right="0" w:hanging="0"/>
              <w:jc w:val="left"/>
              <w:rPr>
                <w:rFonts w:ascii="Times New Roman;Times;serif" w:hAnsi="Times New Roman;Times;serif"/>
                <w:sz w:val="20"/>
              </w:rPr>
            </w:pPr>
            <w:r>
              <w:rPr>
                <w:rFonts w:ascii="Times New Roman;Times;serif" w:hAnsi="Times New Roman;Times;serif"/>
                <w:sz w:val="20"/>
              </w:rPr>
              <w:t>32.2**</w:t>
            </w:r>
          </w:p>
        </w:tc>
        <w:tc>
          <w:tcPr>
            <w:tcW w:w="109" w:type="dxa"/>
            <w:tcBorders/>
            <w:vAlign w:val="center"/>
          </w:tcPr>
          <w:p>
            <w:pPr>
              <w:pStyle w:val="TableContents"/>
              <w:bidi w:val="0"/>
              <w:spacing w:lineRule="auto" w:line="285" w:before="0" w:after="0"/>
              <w:ind w:left="0" w:right="0" w:hanging="0"/>
              <w:jc w:val="left"/>
              <w:rPr/>
            </w:pPr>
            <w:r>
              <w:rPr/>
              <w:t>​</w:t>
            </w:r>
          </w:p>
        </w:tc>
        <w:tc>
          <w:tcPr>
            <w:tcW w:w="9400" w:type="dxa"/>
            <w:tcBorders/>
            <w:vAlign w:val="center"/>
          </w:tcPr>
          <w:p>
            <w:pPr>
              <w:pStyle w:val="TableContents"/>
              <w:bidi w:val="0"/>
              <w:spacing w:lineRule="auto" w:line="300" w:before="0" w:after="40"/>
              <w:ind w:left="0" w:right="0" w:hanging="0"/>
              <w:jc w:val="both"/>
              <w:rPr/>
            </w:pPr>
            <w:hyperlink w:anchor="mtva-20260630xex32d2.htm">
              <w:r>
                <w:rPr>
                  <w:rStyle w:val="InternetLink"/>
                  <w:rFonts w:ascii="Times New Roman;Times;serif" w:hAnsi="Times New Roman;Times;serif"/>
                  <w:b w:val="false"/>
                  <w:i w:val="false"/>
                  <w:caps w:val="false"/>
                  <w:smallCaps w:val="false"/>
                  <w:sz w:val="20"/>
                </w:rPr>
                <w:t>Certification of Principal Financial Officer Pursuant to 18 U.S.C. Section 1350, as Adopted Pursuant to Section 906 of the Sarbanes-Oxley Act of 2002.</w:t>
              </w:r>
            </w:hyperlink>
          </w:p>
        </w:tc>
      </w:tr>
      <w:tr>
        <w:trPr/>
        <w:tc>
          <w:tcPr>
            <w:tcW w:w="696" w:type="dxa"/>
            <w:tcBorders/>
            <w:shd w:fill="CCEEFF" w:val="clear"/>
            <w:vAlign w:val="center"/>
          </w:tcPr>
          <w:p>
            <w:pPr>
              <w:pStyle w:val="TableContents"/>
              <w:pBdr/>
              <w:bidi w:val="0"/>
              <w:spacing w:lineRule="auto" w:line="302" w:before="0" w:after="40"/>
              <w:ind w:left="0" w:right="0" w:hanging="0"/>
              <w:jc w:val="left"/>
              <w:rPr>
                <w:rFonts w:ascii="Times New Roman;Times;serif" w:hAnsi="Times New Roman;Times;serif"/>
                <w:sz w:val="20"/>
              </w:rPr>
            </w:pPr>
            <w:r>
              <w:rPr>
                <w:rFonts w:ascii="Times New Roman;Times;serif" w:hAnsi="Times New Roman;Times;serif"/>
                <w:sz w:val="20"/>
              </w:rPr>
              <w:t>101.INS*</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9400" w:type="dxa"/>
            <w:tcBorders/>
            <w:shd w:fill="CCEEFF" w:val="clear"/>
            <w:vAlign w:val="center"/>
          </w:tcPr>
          <w:p>
            <w:pPr>
              <w:pStyle w:val="TableContents"/>
              <w:bidi w:val="0"/>
              <w:spacing w:lineRule="auto" w:line="302" w:before="0" w:after="40"/>
              <w:ind w:left="0" w:right="0" w:hanging="0"/>
              <w:jc w:val="both"/>
              <w:rPr>
                <w:rFonts w:ascii="Times New Roman;Times;serif" w:hAnsi="Times New Roman;Times;serif"/>
                <w:sz w:val="20"/>
              </w:rPr>
            </w:pPr>
            <w:r>
              <w:rPr>
                <w:rFonts w:ascii="Times New Roman;Times;serif" w:hAnsi="Times New Roman;Times;serif"/>
                <w:sz w:val="20"/>
              </w:rPr>
              <w:t>Inline XBRL Instance Document</w:t>
            </w:r>
          </w:p>
        </w:tc>
      </w:tr>
      <w:tr>
        <w:trPr/>
        <w:tc>
          <w:tcPr>
            <w:tcW w:w="696" w:type="dxa"/>
            <w:tcBorders/>
            <w:vAlign w:val="center"/>
          </w:tcPr>
          <w:p>
            <w:pPr>
              <w:pStyle w:val="TableContents"/>
              <w:pBdr/>
              <w:bidi w:val="0"/>
              <w:spacing w:lineRule="auto" w:line="302" w:before="0" w:after="40"/>
              <w:ind w:left="0" w:right="0" w:hanging="0"/>
              <w:jc w:val="left"/>
              <w:rPr>
                <w:rFonts w:ascii="Times New Roman;Times;serif" w:hAnsi="Times New Roman;Times;serif"/>
                <w:sz w:val="20"/>
              </w:rPr>
            </w:pPr>
            <w:r>
              <w:rPr>
                <w:rFonts w:ascii="Times New Roman;Times;serif" w:hAnsi="Times New Roman;Times;serif"/>
                <w:sz w:val="20"/>
              </w:rPr>
              <w:t>101.SCH*</w:t>
            </w:r>
          </w:p>
        </w:tc>
        <w:tc>
          <w:tcPr>
            <w:tcW w:w="109" w:type="dxa"/>
            <w:tcBorders/>
            <w:vAlign w:val="center"/>
          </w:tcPr>
          <w:p>
            <w:pPr>
              <w:pStyle w:val="TableContents"/>
              <w:bidi w:val="0"/>
              <w:spacing w:lineRule="auto" w:line="285" w:before="0" w:after="0"/>
              <w:ind w:left="0" w:right="0" w:hanging="0"/>
              <w:jc w:val="left"/>
              <w:rPr/>
            </w:pPr>
            <w:r>
              <w:rPr/>
              <w:t>​</w:t>
            </w:r>
          </w:p>
        </w:tc>
        <w:tc>
          <w:tcPr>
            <w:tcW w:w="9400" w:type="dxa"/>
            <w:tcBorders/>
            <w:vAlign w:val="center"/>
          </w:tcPr>
          <w:p>
            <w:pPr>
              <w:pStyle w:val="TableContents"/>
              <w:bidi w:val="0"/>
              <w:spacing w:lineRule="auto" w:line="302" w:before="0" w:after="40"/>
              <w:ind w:left="0" w:right="0" w:hanging="0"/>
              <w:jc w:val="both"/>
              <w:rPr>
                <w:rFonts w:ascii="Times New Roman;Times;serif" w:hAnsi="Times New Roman;Times;serif"/>
                <w:sz w:val="20"/>
              </w:rPr>
            </w:pPr>
            <w:r>
              <w:rPr>
                <w:rFonts w:ascii="Times New Roman;Times;serif" w:hAnsi="Times New Roman;Times;serif"/>
                <w:sz w:val="20"/>
              </w:rPr>
              <w:t>Inline XBRL Taxonomy Extension Schema Document</w:t>
            </w:r>
          </w:p>
        </w:tc>
      </w:tr>
      <w:tr>
        <w:trPr/>
        <w:tc>
          <w:tcPr>
            <w:tcW w:w="696" w:type="dxa"/>
            <w:tcBorders/>
            <w:shd w:fill="CCEEFF" w:val="clear"/>
            <w:vAlign w:val="center"/>
          </w:tcPr>
          <w:p>
            <w:pPr>
              <w:pStyle w:val="TableContents"/>
              <w:pBdr/>
              <w:bidi w:val="0"/>
              <w:spacing w:lineRule="auto" w:line="302" w:before="0" w:after="40"/>
              <w:ind w:left="0" w:right="0" w:hanging="0"/>
              <w:jc w:val="left"/>
              <w:rPr>
                <w:rFonts w:ascii="Times New Roman;Times;serif" w:hAnsi="Times New Roman;Times;serif"/>
                <w:sz w:val="20"/>
              </w:rPr>
            </w:pPr>
            <w:r>
              <w:rPr>
                <w:rFonts w:ascii="Times New Roman;Times;serif" w:hAnsi="Times New Roman;Times;serif"/>
                <w:sz w:val="20"/>
              </w:rPr>
              <w:t>101.CAL*</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9400" w:type="dxa"/>
            <w:tcBorders/>
            <w:shd w:fill="CCEEFF" w:val="clear"/>
            <w:vAlign w:val="center"/>
          </w:tcPr>
          <w:p>
            <w:pPr>
              <w:pStyle w:val="TableContents"/>
              <w:bidi w:val="0"/>
              <w:spacing w:lineRule="auto" w:line="302" w:before="0" w:after="40"/>
              <w:ind w:left="0" w:right="0" w:hanging="0"/>
              <w:jc w:val="both"/>
              <w:rPr>
                <w:rFonts w:ascii="Times New Roman;Times;serif" w:hAnsi="Times New Roman;Times;serif"/>
                <w:sz w:val="20"/>
              </w:rPr>
            </w:pPr>
            <w:r>
              <w:rPr>
                <w:rFonts w:ascii="Times New Roman;Times;serif" w:hAnsi="Times New Roman;Times;serif"/>
                <w:sz w:val="20"/>
              </w:rPr>
              <w:t>Inline XBRL Taxonomy Extension Calculation Linkbase Document</w:t>
            </w:r>
          </w:p>
        </w:tc>
      </w:tr>
      <w:tr>
        <w:trPr/>
        <w:tc>
          <w:tcPr>
            <w:tcW w:w="696" w:type="dxa"/>
            <w:tcBorders/>
            <w:vAlign w:val="center"/>
          </w:tcPr>
          <w:p>
            <w:pPr>
              <w:pStyle w:val="TableContents"/>
              <w:pBdr/>
              <w:bidi w:val="0"/>
              <w:spacing w:lineRule="auto" w:line="302" w:before="0" w:after="40"/>
              <w:ind w:left="0" w:right="0" w:hanging="0"/>
              <w:jc w:val="left"/>
              <w:rPr>
                <w:rFonts w:ascii="Times New Roman;Times;serif" w:hAnsi="Times New Roman;Times;serif"/>
                <w:sz w:val="20"/>
              </w:rPr>
            </w:pPr>
            <w:r>
              <w:rPr>
                <w:rFonts w:ascii="Times New Roman;Times;serif" w:hAnsi="Times New Roman;Times;serif"/>
                <w:sz w:val="20"/>
              </w:rPr>
              <w:t>101.DEF*</w:t>
            </w:r>
          </w:p>
        </w:tc>
        <w:tc>
          <w:tcPr>
            <w:tcW w:w="109" w:type="dxa"/>
            <w:tcBorders/>
            <w:vAlign w:val="center"/>
          </w:tcPr>
          <w:p>
            <w:pPr>
              <w:pStyle w:val="TableContents"/>
              <w:bidi w:val="0"/>
              <w:spacing w:lineRule="auto" w:line="285" w:before="0" w:after="0"/>
              <w:ind w:left="0" w:right="0" w:hanging="0"/>
              <w:jc w:val="left"/>
              <w:rPr/>
            </w:pPr>
            <w:r>
              <w:rPr/>
              <w:t>​</w:t>
            </w:r>
          </w:p>
        </w:tc>
        <w:tc>
          <w:tcPr>
            <w:tcW w:w="9400" w:type="dxa"/>
            <w:tcBorders/>
            <w:vAlign w:val="center"/>
          </w:tcPr>
          <w:p>
            <w:pPr>
              <w:pStyle w:val="TableContents"/>
              <w:bidi w:val="0"/>
              <w:spacing w:lineRule="auto" w:line="302" w:before="0" w:after="40"/>
              <w:ind w:left="0" w:right="0" w:hanging="0"/>
              <w:jc w:val="both"/>
              <w:rPr>
                <w:rFonts w:ascii="Times New Roman;Times;serif" w:hAnsi="Times New Roman;Times;serif"/>
                <w:sz w:val="20"/>
              </w:rPr>
            </w:pPr>
            <w:r>
              <w:rPr>
                <w:rFonts w:ascii="Times New Roman;Times;serif" w:hAnsi="Times New Roman;Times;serif"/>
                <w:sz w:val="20"/>
              </w:rPr>
              <w:t>Inline XBRL Taxonomy Extension Definition Linkbase Document</w:t>
            </w:r>
          </w:p>
        </w:tc>
      </w:tr>
      <w:tr>
        <w:trPr/>
        <w:tc>
          <w:tcPr>
            <w:tcW w:w="696" w:type="dxa"/>
            <w:tcBorders/>
            <w:shd w:fill="CCEEFF" w:val="clear"/>
            <w:vAlign w:val="center"/>
          </w:tcPr>
          <w:p>
            <w:pPr>
              <w:pStyle w:val="TableContents"/>
              <w:pBdr/>
              <w:bidi w:val="0"/>
              <w:spacing w:lineRule="auto" w:line="302" w:before="0" w:after="40"/>
              <w:ind w:left="0" w:right="0" w:hanging="0"/>
              <w:jc w:val="left"/>
              <w:rPr>
                <w:rFonts w:ascii="Times New Roman;Times;serif" w:hAnsi="Times New Roman;Times;serif"/>
                <w:sz w:val="20"/>
              </w:rPr>
            </w:pPr>
            <w:r>
              <w:rPr>
                <w:rFonts w:ascii="Times New Roman;Times;serif" w:hAnsi="Times New Roman;Times;serif"/>
                <w:sz w:val="20"/>
              </w:rPr>
              <w:t>101.LAB*</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9400" w:type="dxa"/>
            <w:tcBorders/>
            <w:shd w:fill="CCEEFF" w:val="clear"/>
            <w:vAlign w:val="center"/>
          </w:tcPr>
          <w:p>
            <w:pPr>
              <w:pStyle w:val="TableContents"/>
              <w:bidi w:val="0"/>
              <w:spacing w:lineRule="auto" w:line="302" w:before="0" w:after="40"/>
              <w:ind w:left="0" w:right="0" w:hanging="0"/>
              <w:jc w:val="both"/>
              <w:rPr>
                <w:rFonts w:ascii="Times New Roman;Times;serif" w:hAnsi="Times New Roman;Times;serif"/>
                <w:sz w:val="20"/>
              </w:rPr>
            </w:pPr>
            <w:r>
              <w:rPr>
                <w:rFonts w:ascii="Times New Roman;Times;serif" w:hAnsi="Times New Roman;Times;serif"/>
                <w:sz w:val="20"/>
              </w:rPr>
              <w:t>Inline XBRL Taxonomy Extension Label Linkbase Document</w:t>
            </w:r>
          </w:p>
        </w:tc>
      </w:tr>
      <w:tr>
        <w:trPr/>
        <w:tc>
          <w:tcPr>
            <w:tcW w:w="696" w:type="dxa"/>
            <w:tcBorders/>
            <w:vAlign w:val="center"/>
          </w:tcPr>
          <w:p>
            <w:pPr>
              <w:pStyle w:val="TableContents"/>
              <w:pBdr/>
              <w:bidi w:val="0"/>
              <w:spacing w:lineRule="auto" w:line="302" w:before="0" w:after="40"/>
              <w:ind w:left="0" w:right="0" w:hanging="0"/>
              <w:jc w:val="left"/>
              <w:rPr>
                <w:rFonts w:ascii="Times New Roman;Times;serif" w:hAnsi="Times New Roman;Times;serif"/>
                <w:sz w:val="20"/>
              </w:rPr>
            </w:pPr>
            <w:r>
              <w:rPr>
                <w:rFonts w:ascii="Times New Roman;Times;serif" w:hAnsi="Times New Roman;Times;serif"/>
                <w:sz w:val="20"/>
              </w:rPr>
              <w:t>101.PRE*</w:t>
            </w:r>
          </w:p>
        </w:tc>
        <w:tc>
          <w:tcPr>
            <w:tcW w:w="109" w:type="dxa"/>
            <w:tcBorders/>
            <w:vAlign w:val="center"/>
          </w:tcPr>
          <w:p>
            <w:pPr>
              <w:pStyle w:val="TableContents"/>
              <w:bidi w:val="0"/>
              <w:spacing w:lineRule="auto" w:line="285" w:before="0" w:after="0"/>
              <w:ind w:left="0" w:right="0" w:hanging="0"/>
              <w:jc w:val="left"/>
              <w:rPr/>
            </w:pPr>
            <w:r>
              <w:rPr/>
              <w:t>​</w:t>
            </w:r>
          </w:p>
        </w:tc>
        <w:tc>
          <w:tcPr>
            <w:tcW w:w="9400" w:type="dxa"/>
            <w:tcBorders/>
            <w:vAlign w:val="center"/>
          </w:tcPr>
          <w:p>
            <w:pPr>
              <w:pStyle w:val="TableContents"/>
              <w:bidi w:val="0"/>
              <w:spacing w:lineRule="auto" w:line="300" w:before="0" w:after="40"/>
              <w:ind w:left="0" w:right="0" w:hanging="0"/>
              <w:jc w:val="both"/>
              <w:rPr>
                <w:rFonts w:ascii="Times New Roman;Times;serif" w:hAnsi="Times New Roman;Times;serif"/>
                <w:sz w:val="20"/>
              </w:rPr>
            </w:pPr>
            <w:r>
              <w:rPr>
                <w:rFonts w:ascii="Times New Roman;Times;serif" w:hAnsi="Times New Roman;Times;serif"/>
                <w:sz w:val="20"/>
              </w:rPr>
              <w:t>Inline XBRL Taxonomy Extension Presentation Linkbase Document</w:t>
            </w:r>
          </w:p>
        </w:tc>
      </w:tr>
      <w:tr>
        <w:trPr/>
        <w:tc>
          <w:tcPr>
            <w:tcW w:w="696" w:type="dxa"/>
            <w:tcBorders/>
            <w:shd w:fill="CCEEFF" w:val="clear"/>
            <w:vAlign w:val="center"/>
          </w:tcPr>
          <w:p>
            <w:pPr>
              <w:pStyle w:val="TableContents"/>
              <w:pBdr/>
              <w:bidi w:val="0"/>
              <w:spacing w:lineRule="auto" w:line="302" w:before="0" w:after="40"/>
              <w:ind w:left="0" w:right="0" w:hanging="0"/>
              <w:jc w:val="left"/>
              <w:rPr>
                <w:rFonts w:ascii="Times New Roman;Times;serif" w:hAnsi="Times New Roman;Times;serif"/>
                <w:sz w:val="20"/>
              </w:rPr>
            </w:pPr>
            <w:r>
              <w:rPr>
                <w:rFonts w:ascii="Times New Roman;Times;serif" w:hAnsi="Times New Roman;Times;serif"/>
                <w:sz w:val="20"/>
              </w:rPr>
              <w:t>104*</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9400" w:type="dxa"/>
            <w:tcBorders/>
            <w:shd w:fill="CCEEFF" w:val="clear"/>
            <w:vAlign w:val="center"/>
          </w:tcPr>
          <w:p>
            <w:pPr>
              <w:pStyle w:val="TableContents"/>
              <w:bidi w:val="0"/>
              <w:spacing w:lineRule="auto" w:line="300" w:before="0" w:after="40"/>
              <w:ind w:left="0" w:right="0" w:hanging="0"/>
              <w:jc w:val="both"/>
              <w:rPr>
                <w:rFonts w:ascii="Times New Roman;Times;serif" w:hAnsi="Times New Roman;Times;serif"/>
                <w:sz w:val="20"/>
              </w:rPr>
            </w:pPr>
            <w:r>
              <w:rPr>
                <w:rFonts w:ascii="Times New Roman;Times;serif" w:hAnsi="Times New Roman;Times;serif"/>
                <w:sz w:val="20"/>
              </w:rPr>
              <w:t>Cover Page Interactive Data File (formatted as Inline XBRL and contained in Exhibit 101)</w:t>
            </w:r>
          </w:p>
        </w:tc>
      </w:tr>
    </w:tbl>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w:t>
      </w:r>
      <w:r>
        <w:rPr>
          <w:rFonts w:ascii="Times New Roman;Times;serif" w:hAnsi="Times New Roman;Times;serif"/>
          <w:sz w:val="20"/>
        </w:rPr>
        <w:t>Indicates management contract or compensatory plan.</w:t>
      </w:r>
    </w:p>
    <w:p>
      <w:pPr>
        <w:pStyle w:val="TextBody"/>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w:t>
      </w:r>
      <w:r>
        <w:rPr>
          <w:rFonts w:ascii="Times New Roman;Times;serif" w:hAnsi="Times New Roman;Times;serif"/>
          <w:sz w:val="20"/>
        </w:rPr>
        <w:t>Filed herewith</w:t>
      </w:r>
    </w:p>
    <w:p>
      <w:pPr>
        <w:pStyle w:val="TextBody"/>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w:t>
      </w:r>
      <w:r>
        <w:rPr>
          <w:rFonts w:ascii="Times New Roman;Times;serif" w:hAnsi="Times New Roman;Times;serif"/>
          <w:sz w:val="20"/>
        </w:rPr>
        <w:t>Furnished herewith</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27</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MetaVia Inc.</w:t>
      </w:r>
    </w:p>
    <w:p>
      <w:pPr>
        <w:pStyle w:val="TextBody"/>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Form 10-Q</w:t>
      </w:r>
    </w:p>
    <w:p>
      <w:pPr>
        <w:pStyle w:val="TextBody"/>
        <w:bidi w:val="0"/>
        <w:spacing w:lineRule="auto" w:line="285" w:before="0" w:after="0"/>
        <w:ind w:left="0" w:right="0" w:hanging="0"/>
        <w:jc w:val="center"/>
        <w:rPr/>
      </w:pPr>
      <w:r>
        <w:rPr/>
        <w:t>​</w:t>
      </w:r>
    </w:p>
    <w:p>
      <w:pPr>
        <w:pStyle w:val="TextBody"/>
        <w:bidi w:val="0"/>
        <w:spacing w:lineRule="auto" w:line="285" w:before="0" w:after="160"/>
        <w:ind w:left="0" w:right="0" w:hanging="0"/>
        <w:jc w:val="center"/>
        <w:rPr>
          <w:rFonts w:ascii="Times New Roman;Times;serif" w:hAnsi="Times New Roman;Times;serif"/>
          <w:b/>
          <w:sz w:val="20"/>
        </w:rPr>
      </w:pPr>
      <w:bookmarkStart w:id="829" w:name="SIGNATURES_188328"/>
      <w:bookmarkStart w:id="830" w:name="_e21babc5_a817_4035_ad0e_fbb8ca5a5412"/>
      <w:bookmarkEnd w:id="829"/>
      <w:bookmarkEnd w:id="830"/>
      <w:r>
        <w:rPr>
          <w:rFonts w:ascii="Times New Roman;Times;serif" w:hAnsi="Times New Roman;Times;serif"/>
          <w:b/>
          <w:sz w:val="20"/>
        </w:rPr>
        <w:t>Signatures</w:t>
      </w:r>
    </w:p>
    <w:p>
      <w:pPr>
        <w:pStyle w:val="TextBody"/>
        <w:bidi w:val="0"/>
        <w:spacing w:lineRule="auto" w:line="285" w:before="0" w:after="0"/>
        <w:ind w:left="0" w:right="0" w:hanging="0"/>
        <w:jc w:val="both"/>
        <w:rPr>
          <w:rFonts w:ascii="Times New Roman;Times;serif" w:hAnsi="Times New Roman;Times;serif"/>
          <w:sz w:val="20"/>
        </w:rPr>
      </w:pPr>
      <w:r>
        <w:rPr>
          <w:rFonts w:ascii="Times New Roman;Times;serif" w:hAnsi="Times New Roman;Times;serif"/>
          <w:sz w:val="20"/>
        </w:rPr>
        <w:t>Pursuant to the requirements of the Securities Exchange Act of 1934, the registrant has duly caused this Report to be signed on its behalf by the undersigned thereunto duly authorized, on August 6, 2026.</w:t>
      </w:r>
    </w:p>
    <w:p>
      <w:pPr>
        <w:pStyle w:val="TextBody"/>
        <w:bidi w:val="0"/>
        <w:spacing w:lineRule="auto" w:line="285" w:before="0" w:after="0"/>
        <w:ind w:left="0" w:right="0" w:hanging="0"/>
        <w:jc w:val="both"/>
        <w:rPr/>
      </w:pPr>
      <w:r>
        <w:rPr/>
        <w:t>​</w:t>
      </w:r>
    </w:p>
    <w:tbl>
      <w:tblPr>
        <w:tblW w:w="3467" w:type="dxa"/>
        <w:jc w:val="left"/>
        <w:tblInd w:w="0" w:type="dxa"/>
        <w:tblLayout w:type="fixed"/>
        <w:tblCellMar>
          <w:top w:w="0" w:type="dxa"/>
          <w:left w:w="0" w:type="dxa"/>
          <w:bottom w:w="0" w:type="dxa"/>
          <w:right w:w="0" w:type="dxa"/>
        </w:tblCellMar>
      </w:tblPr>
      <w:tblGrid>
        <w:gridCol w:w="124"/>
        <w:gridCol w:w="109"/>
        <w:gridCol w:w="23"/>
        <w:gridCol w:w="3211"/>
      </w:tblGrid>
      <w:tr>
        <w:trPr/>
        <w:tc>
          <w:tcPr>
            <w:tcW w:w="124" w:type="dxa"/>
            <w:tcBorders/>
            <w:vAlign w:val="center"/>
          </w:tcPr>
          <w:p>
            <w:pPr>
              <w:pStyle w:val="TableContents"/>
              <w:bidi w:val="0"/>
              <w:spacing w:before="0" w:after="283"/>
              <w:ind w:left="0" w:right="0" w:hanging="0"/>
              <w:jc w:val="left"/>
              <w:rPr>
                <w:sz w:val="4"/>
                <w:szCs w:val="4"/>
              </w:rPr>
            </w:pPr>
            <w:r>
              <w:rPr>
                <w:sz w:val="4"/>
                <w:szCs w:val="4"/>
              </w:rPr>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3234" w:type="dxa"/>
            <w:gridSpan w:val="2"/>
            <w:tcBorders/>
            <w:vAlign w:val="center"/>
          </w:tcPr>
          <w:p>
            <w:pPr>
              <w:pStyle w:val="TableContents"/>
              <w:bidi w:val="0"/>
              <w:spacing w:before="0" w:after="283"/>
              <w:ind w:left="0" w:right="0" w:hanging="0"/>
              <w:jc w:val="left"/>
              <w:rPr>
                <w:sz w:val="4"/>
                <w:szCs w:val="4"/>
              </w:rPr>
            </w:pPr>
            <w:r>
              <w:rPr>
                <w:sz w:val="4"/>
                <w:szCs w:val="4"/>
              </w:rPr>
            </w:r>
          </w:p>
        </w:tc>
      </w:tr>
      <w:tr>
        <w:trPr/>
        <w:tc>
          <w:tcPr>
            <w:tcW w:w="256" w:type="dxa"/>
            <w:gridSpan w:val="3"/>
            <w:tcBorders/>
            <w:vAlign w:val="center"/>
          </w:tcPr>
          <w:p>
            <w:pPr>
              <w:pStyle w:val="TableContents"/>
              <w:bidi w:val="0"/>
              <w:spacing w:lineRule="auto" w:line="285" w:before="0" w:after="0"/>
              <w:ind w:left="0" w:right="0" w:hanging="0"/>
              <w:jc w:val="left"/>
              <w:rPr/>
            </w:pPr>
            <w:r>
              <w:rPr/>
              <w:t>​</w:t>
            </w:r>
          </w:p>
        </w:tc>
        <w:tc>
          <w:tcPr>
            <w:tcW w:w="3211" w:type="dxa"/>
            <w:tcBorders/>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METAVIA INC.</w:t>
            </w:r>
          </w:p>
        </w:tc>
      </w:tr>
      <w:tr>
        <w:trPr/>
        <w:tc>
          <w:tcPr>
            <w:tcW w:w="256" w:type="dxa"/>
            <w:gridSpan w:val="3"/>
            <w:tcBorders/>
            <w:vAlign w:val="center"/>
          </w:tcPr>
          <w:p>
            <w:pPr>
              <w:pStyle w:val="TableContents"/>
              <w:bidi w:val="0"/>
              <w:spacing w:lineRule="auto" w:line="285" w:before="0" w:after="0"/>
              <w:ind w:left="0" w:right="0" w:hanging="0"/>
              <w:jc w:val="left"/>
              <w:rPr/>
            </w:pPr>
            <w:r>
              <w:rPr/>
              <w:t>​</w:t>
            </w:r>
          </w:p>
        </w:tc>
        <w:tc>
          <w:tcPr>
            <w:tcW w:w="3211" w:type="dxa"/>
            <w:tcBorders/>
            <w:vAlign w:val="center"/>
          </w:tcPr>
          <w:p>
            <w:pPr>
              <w:pStyle w:val="TableContents"/>
              <w:pBdr/>
              <w:bidi w:val="0"/>
              <w:spacing w:lineRule="auto" w:line="285" w:before="0" w:after="0"/>
              <w:ind w:left="0" w:right="0" w:hanging="0"/>
              <w:jc w:val="left"/>
              <w:rPr/>
            </w:pPr>
            <w:r>
              <w:rPr/>
              <w:t>​</w:t>
            </w:r>
          </w:p>
        </w:tc>
      </w:tr>
      <w:tr>
        <w:trPr/>
        <w:tc>
          <w:tcPr>
            <w:tcW w:w="256" w:type="dxa"/>
            <w:gridSpan w:val="3"/>
            <w:tcBorders/>
            <w:vAlign w:val="center"/>
          </w:tcPr>
          <w:p>
            <w:pPr>
              <w:pStyle w:val="TableContents"/>
              <w:bidi w:val="0"/>
              <w:spacing w:lineRule="auto" w:line="285" w:before="0" w:after="0"/>
              <w:ind w:left="0" w:right="0" w:hanging="0"/>
              <w:jc w:val="left"/>
              <w:rPr/>
            </w:pPr>
            <w:r>
              <w:rPr/>
              <w:t>​</w:t>
            </w:r>
          </w:p>
        </w:tc>
        <w:tc>
          <w:tcPr>
            <w:tcW w:w="3211" w:type="dxa"/>
            <w:tcBorders/>
            <w:vAlign w:val="center"/>
          </w:tcPr>
          <w:p>
            <w:pPr>
              <w:pStyle w:val="TableContents"/>
              <w:pBdr/>
              <w:bidi w:val="0"/>
              <w:spacing w:lineRule="auto" w:line="285" w:before="0" w:after="0"/>
              <w:ind w:left="0" w:right="0" w:hanging="0"/>
              <w:jc w:val="left"/>
              <w:rPr/>
            </w:pPr>
            <w:r>
              <w:rPr/>
              <w:t>​</w:t>
            </w:r>
          </w:p>
        </w:tc>
      </w:tr>
      <w:tr>
        <w:trPr/>
        <w:tc>
          <w:tcPr>
            <w:tcW w:w="256" w:type="dxa"/>
            <w:gridSpan w:val="3"/>
            <w:tcBorders/>
            <w:vAlign w:val="center"/>
          </w:tcPr>
          <w:p>
            <w:pPr>
              <w:pStyle w:val="TableContents"/>
              <w:bidi w:val="0"/>
              <w:spacing w:lineRule="auto" w:line="285" w:before="0" w:after="0"/>
              <w:ind w:left="0" w:right="0" w:hanging="0"/>
              <w:jc w:val="left"/>
              <w:rPr/>
            </w:pPr>
            <w:r>
              <w:rPr/>
              <w:t>​</w:t>
            </w:r>
          </w:p>
        </w:tc>
        <w:tc>
          <w:tcPr>
            <w:tcW w:w="3211" w:type="dxa"/>
            <w:tcBorders>
              <w:bottom w:val="single" w:sz="2" w:space="0" w:color="000000"/>
            </w:tcBorders>
            <w:tcMar>
              <w:bottom w:w="28" w:type="dxa"/>
            </w:tcM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Hyung Heon Kim</w:t>
            </w:r>
          </w:p>
        </w:tc>
      </w:tr>
      <w:tr>
        <w:trPr/>
        <w:tc>
          <w:tcPr>
            <w:tcW w:w="256" w:type="dxa"/>
            <w:gridSpan w:val="3"/>
            <w:tcBorders/>
            <w:vAlign w:val="center"/>
          </w:tcPr>
          <w:p>
            <w:pPr>
              <w:pStyle w:val="TableContents"/>
              <w:bidi w:val="0"/>
              <w:spacing w:lineRule="auto" w:line="285" w:before="0" w:after="0"/>
              <w:ind w:left="0" w:right="0" w:hanging="0"/>
              <w:jc w:val="left"/>
              <w:rPr/>
            </w:pPr>
            <w:r>
              <w:rPr/>
              <w:t>​</w:t>
            </w:r>
          </w:p>
        </w:tc>
        <w:tc>
          <w:tcPr>
            <w:tcW w:w="3211" w:type="dxa"/>
            <w:tcBorders>
              <w:top w:val="single" w:sz="2" w:space="0" w:color="000000"/>
            </w:tcBorders>
            <w:tcMar>
              <w:top w:w="28" w:type="dxa"/>
            </w:tcM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Hyung Heon Kim</w:t>
            </w:r>
          </w:p>
        </w:tc>
      </w:tr>
      <w:tr>
        <w:trPr/>
        <w:tc>
          <w:tcPr>
            <w:tcW w:w="256" w:type="dxa"/>
            <w:gridSpan w:val="3"/>
            <w:tcBorders/>
            <w:vAlign w:val="center"/>
          </w:tcPr>
          <w:p>
            <w:pPr>
              <w:pStyle w:val="TableContents"/>
              <w:bidi w:val="0"/>
              <w:spacing w:lineRule="auto" w:line="285" w:before="0" w:after="0"/>
              <w:ind w:left="0" w:right="0" w:hanging="0"/>
              <w:jc w:val="left"/>
              <w:rPr/>
            </w:pPr>
            <w:r>
              <w:rPr/>
              <w:t>​</w:t>
            </w:r>
          </w:p>
        </w:tc>
        <w:tc>
          <w:tcPr>
            <w:tcW w:w="3211"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President and Chief Executive Officer</w:t>
            </w:r>
          </w:p>
        </w:tc>
      </w:tr>
      <w:tr>
        <w:trPr/>
        <w:tc>
          <w:tcPr>
            <w:tcW w:w="256" w:type="dxa"/>
            <w:gridSpan w:val="3"/>
            <w:tcBorders/>
            <w:vAlign w:val="center"/>
          </w:tcPr>
          <w:p>
            <w:pPr>
              <w:pStyle w:val="TableContents"/>
              <w:bidi w:val="0"/>
              <w:spacing w:lineRule="auto" w:line="285" w:before="0" w:after="0"/>
              <w:ind w:left="0" w:right="0" w:hanging="0"/>
              <w:jc w:val="left"/>
              <w:rPr/>
            </w:pPr>
            <w:r>
              <w:rPr/>
              <w:t>​</w:t>
            </w:r>
          </w:p>
        </w:tc>
        <w:tc>
          <w:tcPr>
            <w:tcW w:w="3211" w:type="dxa"/>
            <w:tcBorders/>
            <w:vAlign w:val="center"/>
          </w:tcPr>
          <w:p>
            <w:pPr>
              <w:pStyle w:val="TableContents"/>
              <w:pBdr/>
              <w:bidi w:val="0"/>
              <w:spacing w:lineRule="auto" w:line="285" w:before="0" w:after="0"/>
              <w:ind w:left="0" w:right="0" w:hanging="0"/>
              <w:jc w:val="left"/>
              <w:rPr/>
            </w:pPr>
            <w:r>
              <w:rPr/>
              <w:t>​</w:t>
            </w:r>
          </w:p>
        </w:tc>
      </w:tr>
      <w:tr>
        <w:trPr/>
        <w:tc>
          <w:tcPr>
            <w:tcW w:w="256" w:type="dxa"/>
            <w:gridSpan w:val="3"/>
            <w:tcBorders/>
            <w:vAlign w:val="center"/>
          </w:tcPr>
          <w:p>
            <w:pPr>
              <w:pStyle w:val="TableContents"/>
              <w:bidi w:val="0"/>
              <w:spacing w:lineRule="auto" w:line="285" w:before="0" w:after="0"/>
              <w:ind w:left="0" w:right="0" w:hanging="0"/>
              <w:jc w:val="left"/>
              <w:rPr/>
            </w:pPr>
            <w:r>
              <w:rPr/>
              <w:t>​</w:t>
            </w:r>
          </w:p>
        </w:tc>
        <w:tc>
          <w:tcPr>
            <w:tcW w:w="3211" w:type="dxa"/>
            <w:tcBorders/>
            <w:vAlign w:val="center"/>
          </w:tcPr>
          <w:p>
            <w:pPr>
              <w:pStyle w:val="TableContents"/>
              <w:pBdr/>
              <w:bidi w:val="0"/>
              <w:spacing w:lineRule="auto" w:line="285" w:before="0" w:after="0"/>
              <w:ind w:left="0" w:right="0" w:hanging="0"/>
              <w:jc w:val="left"/>
              <w:rPr/>
            </w:pPr>
            <w:r>
              <w:rPr/>
              <w:t>​</w:t>
            </w:r>
          </w:p>
        </w:tc>
      </w:tr>
      <w:tr>
        <w:trPr/>
        <w:tc>
          <w:tcPr>
            <w:tcW w:w="256" w:type="dxa"/>
            <w:gridSpan w:val="3"/>
            <w:tcBorders/>
            <w:vAlign w:val="center"/>
          </w:tcPr>
          <w:p>
            <w:pPr>
              <w:pStyle w:val="TableContents"/>
              <w:bidi w:val="0"/>
              <w:spacing w:lineRule="auto" w:line="285" w:before="0" w:after="0"/>
              <w:ind w:left="0" w:right="0" w:hanging="0"/>
              <w:jc w:val="left"/>
              <w:rPr/>
            </w:pPr>
            <w:r>
              <w:rPr/>
              <w:t>​</w:t>
            </w:r>
          </w:p>
        </w:tc>
        <w:tc>
          <w:tcPr>
            <w:tcW w:w="3211" w:type="dxa"/>
            <w:tcBorders/>
            <w:vAlign w:val="center"/>
          </w:tcPr>
          <w:p>
            <w:pPr>
              <w:pStyle w:val="TableContents"/>
              <w:pBdr/>
              <w:bidi w:val="0"/>
              <w:spacing w:lineRule="auto" w:line="285" w:before="0" w:after="0"/>
              <w:ind w:left="0" w:right="0" w:hanging="0"/>
              <w:jc w:val="left"/>
              <w:rPr/>
            </w:pPr>
            <w:r>
              <w:rPr/>
              <w:t>​</w:t>
            </w:r>
          </w:p>
        </w:tc>
      </w:tr>
      <w:tr>
        <w:trPr/>
        <w:tc>
          <w:tcPr>
            <w:tcW w:w="256" w:type="dxa"/>
            <w:gridSpan w:val="3"/>
            <w:tcBorders/>
            <w:vAlign w:val="center"/>
          </w:tcPr>
          <w:p>
            <w:pPr>
              <w:pStyle w:val="TableContents"/>
              <w:bidi w:val="0"/>
              <w:spacing w:lineRule="auto" w:line="285" w:before="0" w:after="0"/>
              <w:ind w:left="0" w:right="0" w:hanging="0"/>
              <w:jc w:val="left"/>
              <w:rPr/>
            </w:pPr>
            <w:r>
              <w:rPr/>
              <w:t>​</w:t>
            </w:r>
          </w:p>
        </w:tc>
        <w:tc>
          <w:tcPr>
            <w:tcW w:w="3211" w:type="dxa"/>
            <w:tcBorders>
              <w:bottom w:val="single" w:sz="2" w:space="0" w:color="000000"/>
            </w:tcBorders>
            <w:tcMar>
              <w:bottom w:w="28" w:type="dxa"/>
            </w:tcM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Marshall H. Woodworth</w:t>
            </w:r>
          </w:p>
        </w:tc>
      </w:tr>
      <w:tr>
        <w:trPr/>
        <w:tc>
          <w:tcPr>
            <w:tcW w:w="256" w:type="dxa"/>
            <w:gridSpan w:val="3"/>
            <w:tcBorders/>
            <w:vAlign w:val="center"/>
          </w:tcPr>
          <w:p>
            <w:pPr>
              <w:pStyle w:val="TableContents"/>
              <w:bidi w:val="0"/>
              <w:spacing w:lineRule="auto" w:line="285" w:before="0" w:after="0"/>
              <w:ind w:left="0" w:right="0" w:hanging="0"/>
              <w:jc w:val="left"/>
              <w:rPr/>
            </w:pPr>
            <w:r>
              <w:rPr/>
              <w:t>​</w:t>
            </w:r>
          </w:p>
        </w:tc>
        <w:tc>
          <w:tcPr>
            <w:tcW w:w="3211" w:type="dxa"/>
            <w:tcBorders>
              <w:top w:val="single" w:sz="2" w:space="0" w:color="000000"/>
            </w:tcBorders>
            <w:tcMar>
              <w:top w:w="28" w:type="dxa"/>
            </w:tcM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Marshall H. Woodworth</w:t>
            </w:r>
          </w:p>
        </w:tc>
      </w:tr>
      <w:tr>
        <w:trPr/>
        <w:tc>
          <w:tcPr>
            <w:tcW w:w="256" w:type="dxa"/>
            <w:gridSpan w:val="3"/>
            <w:tcBorders/>
            <w:vAlign w:val="center"/>
          </w:tcPr>
          <w:p>
            <w:pPr>
              <w:pStyle w:val="TableContents"/>
              <w:bidi w:val="0"/>
              <w:spacing w:lineRule="auto" w:line="285" w:before="0" w:after="0"/>
              <w:ind w:left="0" w:right="0" w:hanging="0"/>
              <w:jc w:val="left"/>
              <w:rPr/>
            </w:pPr>
            <w:r>
              <w:rPr/>
              <w:t>​</w:t>
            </w:r>
          </w:p>
        </w:tc>
        <w:tc>
          <w:tcPr>
            <w:tcW w:w="3211" w:type="dxa"/>
            <w:tcBorders/>
            <w:vAlign w:val="center"/>
          </w:tcPr>
          <w:p>
            <w:pPr>
              <w:pStyle w:val="TableContents"/>
              <w:pBdr/>
              <w:bidi w:val="0"/>
              <w:spacing w:before="0" w:after="0"/>
              <w:ind w:left="0" w:right="0" w:hanging="177"/>
              <w:jc w:val="left"/>
              <w:rPr>
                <w:rFonts w:ascii="Times New Roman;Times;serif" w:hAnsi="Times New Roman;Times;serif"/>
                <w:sz w:val="20"/>
              </w:rPr>
            </w:pPr>
            <w:r>
              <w:rPr>
                <w:rFonts w:ascii="Times New Roman;Times;serif" w:hAnsi="Times New Roman;Times;serif"/>
                <w:sz w:val="20"/>
              </w:rPr>
              <w:t>Chief Financial Officer</w:t>
            </w:r>
          </w:p>
        </w:tc>
      </w:tr>
    </w:tbl>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pPr>
      <w:r>
        <w:rPr/>
        <w:t>​</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28</w:t>
      </w:r>
    </w:p>
    <w:p>
      <w:pPr>
        <w:pStyle w:val="TextBody"/>
        <w:bidi w:val="0"/>
        <w:spacing w:before="0" w:after="0"/>
        <w:ind w:left="0" w:right="0" w:hanging="0"/>
        <w:jc w:val="left"/>
        <w:rPr/>
      </w:pPr>
      <w:bookmarkStart w:id="831" w:name="mtva-20260630xex10d1.htm"/>
      <w:bookmarkStart w:id="832" w:name="ksmtva20260630xex10d1"/>
      <w:bookmarkEnd w:id="831"/>
      <w:bookmarkEnd w:id="832"/>
      <w:r>
        <w:rPr/>
        <w:t>​</w:t>
      </w:r>
      <w:r>
        <w:br w:type="page"/>
      </w:r>
    </w:p>
    <w:p>
      <w:pPr>
        <w:pStyle w:val="TextBody"/>
        <w:bidi w:val="0"/>
        <w:spacing w:before="0" w:after="0"/>
        <w:ind w:left="0" w:right="0" w:hanging="0"/>
        <w:jc w:val="right"/>
        <w:rPr>
          <w:rFonts w:ascii="Times New Roman;Times;serif" w:hAnsi="Times New Roman;Times;serif"/>
          <w:b/>
          <w:sz w:val="22"/>
          <w:shd w:fill="FFFFFF" w:val="clear"/>
        </w:rPr>
      </w:pPr>
      <w:r>
        <w:rPr>
          <w:rFonts w:ascii="Times New Roman;Times;serif" w:hAnsi="Times New Roman;Times;serif"/>
          <w:b/>
          <w:sz w:val="22"/>
          <w:shd w:fill="FFFFFF" w:val="clear"/>
        </w:rPr>
        <w:t>Exhibit 10.1</w:t>
      </w:r>
    </w:p>
    <w:p>
      <w:pPr>
        <w:pStyle w:val="TextBody"/>
        <w:bidi w:val="0"/>
        <w:spacing w:before="0" w:after="0"/>
        <w:ind w:left="0" w:right="0" w:hanging="0"/>
        <w:jc w:val="center"/>
        <w:rPr>
          <w:rFonts w:ascii="Times New Roman;Times;serif" w:hAnsi="Times New Roman;Times;serif"/>
          <w:b/>
          <w:smallCaps/>
          <w:sz w:val="22"/>
          <w:shd w:fill="FFFFFF" w:val="clear"/>
        </w:rPr>
      </w:pPr>
      <w:r>
        <w:rPr>
          <w:rFonts w:ascii="Times New Roman;Times;serif" w:hAnsi="Times New Roman;Times;serif"/>
          <w:b/>
          <w:smallCaps/>
          <w:sz w:val="22"/>
          <w:shd w:fill="FFFFFF" w:val="clear"/>
        </w:rPr>
        <w:t>MetaVia Inc.</w:t>
      </w:r>
    </w:p>
    <w:p>
      <w:pPr>
        <w:pStyle w:val="TextBody"/>
        <w:bidi w:val="0"/>
        <w:spacing w:before="0" w:after="0"/>
        <w:ind w:left="0" w:right="0" w:hanging="0"/>
        <w:jc w:val="center"/>
        <w:rPr>
          <w:rFonts w:ascii="Times New Roman;Times;serif" w:hAnsi="Times New Roman;Times;serif"/>
          <w:b/>
          <w:i w:val="false"/>
          <w:smallCaps/>
          <w:sz w:val="22"/>
          <w:shd w:fill="FFFFFF" w:val="clear"/>
        </w:rPr>
      </w:pPr>
      <w:r>
        <w:rPr>
          <w:rFonts w:ascii="Times New Roman;Times;serif" w:hAnsi="Times New Roman;Times;serif"/>
          <w:b/>
          <w:i w:val="false"/>
          <w:smallCaps/>
          <w:sz w:val="22"/>
          <w:shd w:fill="FFFFFF" w:val="clear"/>
        </w:rPr>
        <w:t>Amended and Restated</w:t>
      </w:r>
    </w:p>
    <w:p>
      <w:pPr>
        <w:pStyle w:val="TextBody"/>
        <w:bidi w:val="0"/>
        <w:spacing w:before="0" w:after="0"/>
        <w:ind w:left="0" w:right="0" w:hanging="0"/>
        <w:jc w:val="center"/>
        <w:rPr>
          <w:rFonts w:ascii="Times New Roman;Times;serif" w:hAnsi="Times New Roman;Times;serif"/>
          <w:b/>
          <w:i w:val="false"/>
          <w:smallCaps/>
          <w:sz w:val="22"/>
          <w:shd w:fill="FFFFFF" w:val="clear"/>
        </w:rPr>
      </w:pPr>
      <w:r>
        <w:rPr>
          <w:rFonts w:ascii="Times New Roman;Times;serif" w:hAnsi="Times New Roman;Times;serif"/>
          <w:b/>
          <w:i w:val="false"/>
          <w:smallCaps/>
          <w:sz w:val="22"/>
          <w:shd w:fill="FFFFFF" w:val="clear"/>
        </w:rPr>
        <w:t>Non-Employee Director Compensation Policy</w:t>
      </w:r>
    </w:p>
    <w:p>
      <w:pPr>
        <w:pStyle w:val="TextBody"/>
        <w:bidi w:val="0"/>
        <w:spacing w:before="0" w:after="0"/>
        <w:ind w:left="0" w:right="0" w:hanging="0"/>
        <w:jc w:val="center"/>
        <w:rPr>
          <w:shd w:fill="FFFFFF" w:val="clear"/>
        </w:rPr>
      </w:pPr>
      <w:r>
        <w:rPr>
          <w:shd w:fill="FFFFFF" w:val="clear"/>
        </w:rPr>
        <w:t>​</w:t>
      </w:r>
      <w:r>
        <w:rPr>
          <w:rFonts w:ascii="Times New Roman;Times;serif" w:hAnsi="Times New Roman;Times;serif"/>
          <w:b/>
          <w:sz w:val="22"/>
          <w:shd w:fill="FFFFFF" w:val="clear"/>
        </w:rPr>
        <w:br/>
        <w:t>Effective Date: May 7, 2024; as amended on November 29, 2024 and June 8, 2026</w:t>
      </w:r>
    </w:p>
    <w:p>
      <w:pPr>
        <w:pStyle w:val="TextBody"/>
        <w:pBdr>
          <w:bottom w:val="single" w:sz="8" w:space="1" w:color="000000"/>
        </w:pBdr>
        <w:bidi w:val="0"/>
        <w:spacing w:before="0" w:after="40"/>
        <w:ind w:left="0" w:right="0" w:hanging="0"/>
        <w:jc w:val="left"/>
        <w:rPr>
          <w:shd w:fill="FFFFFF" w:val="clear"/>
        </w:rPr>
      </w:pPr>
      <w:r>
        <w:rPr>
          <w:shd w:fill="FFFFFF" w:val="clear"/>
        </w:rPr>
        <w:t>​</w:t>
      </w:r>
    </w:p>
    <w:p>
      <w:pPr>
        <w:pStyle w:val="TextBody"/>
        <w:bidi w:val="0"/>
        <w:spacing w:before="240" w:after="240"/>
        <w:ind w:left="0" w:right="0" w:firstLine="720"/>
        <w:jc w:val="both"/>
        <w:rPr>
          <w:rFonts w:ascii="Times New Roman;Times;serif" w:hAnsi="Times New Roman;Times;serif"/>
          <w:sz w:val="22"/>
          <w:shd w:fill="FFFFFF" w:val="clear"/>
        </w:rPr>
      </w:pPr>
      <w:r>
        <w:rPr>
          <w:rFonts w:ascii="Times New Roman;Times;serif" w:hAnsi="Times New Roman;Times;serif"/>
          <w:sz w:val="22"/>
          <w:shd w:fill="FFFFFF" w:val="clear"/>
        </w:rPr>
        <w:t>Each member of the Board of Directors (the “</w:t>
      </w:r>
      <w:r>
        <w:rPr>
          <w:rFonts w:ascii="Times New Roman;Times;serif" w:hAnsi="Times New Roman;Times;serif"/>
          <w:b/>
          <w:i/>
          <w:sz w:val="22"/>
          <w:shd w:fill="FFFFFF" w:val="clear"/>
        </w:rPr>
        <w:t>Board”</w:t>
      </w:r>
      <w:r>
        <w:rPr>
          <w:rFonts w:ascii="Times New Roman;Times;serif" w:hAnsi="Times New Roman;Times;serif"/>
          <w:sz w:val="22"/>
          <w:shd w:fill="FFFFFF" w:val="clear"/>
        </w:rPr>
        <w:t xml:space="preserve">) of </w:t>
      </w:r>
      <w:r>
        <w:rPr>
          <w:rFonts w:ascii="Times New Roman;Times;serif" w:hAnsi="Times New Roman;Times;serif"/>
          <w:smallCaps/>
          <w:sz w:val="22"/>
          <w:shd w:fill="FFFFFF" w:val="clear"/>
        </w:rPr>
        <w:t>MetaVia Inc</w:t>
      </w:r>
      <w:r>
        <w:rPr>
          <w:rFonts w:ascii="Times New Roman;Times;serif" w:hAnsi="Times New Roman;Times;serif"/>
          <w:sz w:val="22"/>
          <w:shd w:fill="FFFFFF" w:val="clear"/>
        </w:rPr>
        <w:t>., a Delaware corporation (the “</w:t>
      </w:r>
      <w:r>
        <w:rPr>
          <w:rFonts w:ascii="Times New Roman;Times;serif" w:hAnsi="Times New Roman;Times;serif"/>
          <w:b/>
          <w:i/>
          <w:sz w:val="22"/>
          <w:shd w:fill="FFFFFF" w:val="clear"/>
        </w:rPr>
        <w:t>Company”</w:t>
      </w:r>
      <w:r>
        <w:rPr>
          <w:rFonts w:ascii="Times New Roman;Times;serif" w:hAnsi="Times New Roman;Times;serif"/>
          <w:sz w:val="22"/>
          <w:shd w:fill="FFFFFF" w:val="clear"/>
        </w:rPr>
        <w:t>) who is not also serving as an employee of the Company or any of its subsidiaries (each such member, an “</w:t>
      </w:r>
      <w:r>
        <w:rPr>
          <w:rFonts w:ascii="Times New Roman;Times;serif" w:hAnsi="Times New Roman;Times;serif"/>
          <w:b/>
          <w:i/>
          <w:sz w:val="22"/>
          <w:shd w:fill="FFFFFF" w:val="clear"/>
        </w:rPr>
        <w:t>Non-Employee Director”</w:t>
      </w:r>
      <w:r>
        <w:rPr>
          <w:rFonts w:ascii="Times New Roman;Times;serif" w:hAnsi="Times New Roman;Times;serif"/>
          <w:sz w:val="22"/>
          <w:shd w:fill="FFFFFF" w:val="clear"/>
        </w:rPr>
        <w:t>) will receive the compensation described in this Amended and Restated Non-Employee Director Compensation Policy (this “</w:t>
      </w:r>
      <w:r>
        <w:rPr>
          <w:rFonts w:ascii="Times New Roman;Times;serif" w:hAnsi="Times New Roman;Times;serif"/>
          <w:b/>
          <w:i/>
          <w:sz w:val="22"/>
          <w:shd w:fill="FFFFFF" w:val="clear"/>
        </w:rPr>
        <w:t>Policy”</w:t>
      </w:r>
      <w:r>
        <w:rPr>
          <w:rFonts w:ascii="Times New Roman;Times;serif" w:hAnsi="Times New Roman;Times;serif"/>
          <w:sz w:val="22"/>
          <w:shd w:fill="FFFFFF" w:val="clear"/>
        </w:rPr>
        <w:t>).  A Non-Employee Director may decline all or any portion of his or her compensation by giving notice to the Company prior to the date cash is to be paid or equity awards are to be granted, as the case may be.  This Policy will be effective as of May 7, 2024 (the “</w:t>
      </w:r>
      <w:r>
        <w:rPr>
          <w:rFonts w:ascii="Times New Roman;Times;serif" w:hAnsi="Times New Roman;Times;serif"/>
          <w:b/>
          <w:i/>
          <w:sz w:val="22"/>
          <w:shd w:fill="FFFFFF" w:val="clear"/>
        </w:rPr>
        <w:t>Effective Date”</w:t>
      </w:r>
      <w:r>
        <w:rPr>
          <w:rFonts w:ascii="Times New Roman;Times;serif" w:hAnsi="Times New Roman;Times;serif"/>
          <w:sz w:val="22"/>
          <w:shd w:fill="FFFFFF" w:val="clear"/>
        </w:rPr>
        <w:t>). This Policy may be amended at any time in the sole discretion of the Board, or by the Compensation Committee of the Board (the “</w:t>
      </w:r>
      <w:r>
        <w:rPr>
          <w:rFonts w:ascii="Times New Roman;Times;serif" w:hAnsi="Times New Roman;Times;serif"/>
          <w:b/>
          <w:i/>
          <w:sz w:val="22"/>
          <w:shd w:fill="FFFFFF" w:val="clear"/>
        </w:rPr>
        <w:t>Compensation Committee”</w:t>
      </w:r>
      <w:r>
        <w:rPr>
          <w:rFonts w:ascii="Times New Roman;Times;serif" w:hAnsi="Times New Roman;Times;serif"/>
          <w:sz w:val="22"/>
          <w:shd w:fill="FFFFFF" w:val="clear"/>
        </w:rPr>
        <w:t>) at the recommendation of the Board.  Unless otherwise defined herein, capitalized terms used in this Policy will have the meaning given to such terms in the Company’s 2022 Equity Incentive Plan, as amended, or if such plan is no longer in use, the meaning given to such terms or any similar terms in the primary successor to such plan (in either case, the “</w:t>
      </w:r>
      <w:r>
        <w:rPr>
          <w:rFonts w:ascii="Times New Roman;Times;serif" w:hAnsi="Times New Roman;Times;serif"/>
          <w:b/>
          <w:i/>
          <w:sz w:val="22"/>
          <w:shd w:fill="FFFFFF" w:val="clear"/>
        </w:rPr>
        <w:t>Plan”</w:t>
      </w:r>
      <w:r>
        <w:rPr>
          <w:rFonts w:ascii="Times New Roman;Times;serif" w:hAnsi="Times New Roman;Times;serif"/>
          <w:sz w:val="22"/>
          <w:shd w:fill="FFFFFF" w:val="clear"/>
        </w:rPr>
        <w:t xml:space="preserve">). </w:t>
      </w:r>
    </w:p>
    <w:p>
      <w:pPr>
        <w:pStyle w:val="TextBody"/>
        <w:bidi w:val="0"/>
        <w:spacing w:before="0" w:after="0"/>
        <w:ind w:left="0" w:right="0" w:hanging="0"/>
        <w:jc w:val="both"/>
        <w:rPr>
          <w:rFonts w:ascii="Times New Roman;Times;serif" w:hAnsi="Times New Roman;Times;serif"/>
          <w:sz w:val="22"/>
          <w:shd w:fill="FFFFFF" w:val="clear"/>
        </w:rPr>
      </w:pPr>
      <w:r>
        <w:rPr>
          <w:rFonts w:ascii="Times New Roman;Times;serif" w:hAnsi="Times New Roman;Times;serif"/>
          <w:b/>
          <w:caps/>
          <w:sz w:val="24"/>
          <w:shd w:fill="FFFFFF" w:val="clear"/>
        </w:rPr>
        <w:t>I.</w:t>
      </w:r>
      <w:r>
        <w:rPr>
          <w:rFonts w:ascii="Times New Roman;Times;serif" w:hAnsi="Times New Roman;Times;serif"/>
          <w:b/>
          <w:caps/>
          <w:sz w:val="22"/>
          <w:shd w:fill="FFFFFF" w:val="clear"/>
        </w:rPr>
        <w:t xml:space="preserve">ANNUAL CASH </w:t>
      </w:r>
      <w:r>
        <w:rPr>
          <w:rFonts w:ascii="Times New Roman;Times;serif" w:hAnsi="Times New Roman;Times;serif"/>
          <w:b/>
          <w:sz w:val="22"/>
          <w:shd w:fill="FFFFFF" w:val="clear"/>
        </w:rPr>
        <w:t xml:space="preserve">COMPENSATION. </w:t>
      </w:r>
      <w:r>
        <w:rPr>
          <w:rFonts w:ascii="Times New Roman;Times;serif" w:hAnsi="Times New Roman;Times;serif"/>
          <w:sz w:val="22"/>
          <w:shd w:fill="FFFFFF" w:val="clear"/>
        </w:rPr>
        <w:t>Commencing on the Effective Date, each Non-Employee Director will receive the cash compensation set forth below for service on the Board.  The annual cash compensation amounts will be payable in equal quarterly installments, in arrears no later than 30 days following the end of each quarter in which the service occurred (each, a “</w:t>
      </w:r>
      <w:r>
        <w:rPr>
          <w:rFonts w:ascii="Times New Roman;Times;serif" w:hAnsi="Times New Roman;Times;serif"/>
          <w:b/>
          <w:i/>
          <w:sz w:val="22"/>
          <w:shd w:fill="FFFFFF" w:val="clear"/>
        </w:rPr>
        <w:t>Quarterly Date”</w:t>
      </w:r>
      <w:r>
        <w:rPr>
          <w:rFonts w:ascii="Times New Roman;Times;serif" w:hAnsi="Times New Roman;Times;serif"/>
          <w:sz w:val="22"/>
          <w:shd w:fill="FFFFFF" w:val="clear"/>
        </w:rPr>
        <w:t>).  Each annual retainer set forth below will be pro-rated based on days served in the applicable fiscal year of the Company, with the pro-rated amount paid for the first fiscal quarter of the Company in which the Non-Employee Director provides the service, and regular full quarterly payments to be paid thereafter.  All annual cash fees are vested upon payment.  The schedule of annual retainers (the “</w:t>
      </w:r>
      <w:r>
        <w:rPr>
          <w:rFonts w:ascii="Times New Roman;Times;serif" w:hAnsi="Times New Roman;Times;serif"/>
          <w:b/>
          <w:i/>
          <w:sz w:val="22"/>
          <w:shd w:fill="FFFFFF" w:val="clear"/>
        </w:rPr>
        <w:t>Annual Retainers”</w:t>
      </w:r>
      <w:r>
        <w:rPr>
          <w:rFonts w:ascii="Times New Roman;Times;serif" w:hAnsi="Times New Roman;Times;serif"/>
          <w:sz w:val="22"/>
          <w:shd w:fill="FFFFFF" w:val="clear"/>
        </w:rPr>
        <w:t xml:space="preserve">) for the Non-Employee Directors is as follows: </w:t>
      </w:r>
    </w:p>
    <w:tbl>
      <w:tblPr>
        <w:tblW w:w="8565" w:type="dxa"/>
        <w:jc w:val="center"/>
        <w:tblInd w:w="0" w:type="dxa"/>
        <w:tblLayout w:type="fixed"/>
        <w:tblCellMar>
          <w:top w:w="0" w:type="dxa"/>
          <w:left w:w="0" w:type="dxa"/>
          <w:bottom w:w="0" w:type="dxa"/>
          <w:right w:w="0" w:type="dxa"/>
        </w:tblCellMar>
      </w:tblPr>
      <w:tblGrid>
        <w:gridCol w:w="7156"/>
        <w:gridCol w:w="226"/>
        <w:gridCol w:w="226"/>
        <w:gridCol w:w="766"/>
        <w:gridCol w:w="191"/>
      </w:tblGrid>
      <w:tr>
        <w:trPr/>
        <w:tc>
          <w:tcPr>
            <w:tcW w:w="7156" w:type="dxa"/>
            <w:tcBorders/>
            <w:vAlign w:val="center"/>
          </w:tcPr>
          <w:p>
            <w:pPr>
              <w:pStyle w:val="TableContents"/>
              <w:pBdr>
                <w:bottom w:val="single" w:sz="8" w:space="1" w:color="000000"/>
              </w:pBdr>
              <w:bidi w:val="0"/>
              <w:spacing w:before="0" w:after="0"/>
              <w:ind w:left="0" w:right="0" w:hanging="0"/>
              <w:jc w:val="left"/>
              <w:rPr>
                <w:rFonts w:ascii="Times New Roman;Times;serif" w:hAnsi="Times New Roman;Times;serif"/>
                <w:b/>
                <w:sz w:val="22"/>
              </w:rPr>
            </w:pPr>
            <w:r>
              <w:rPr>
                <w:rFonts w:ascii="Times New Roman;Times;serif" w:hAnsi="Times New Roman;Times;serif"/>
                <w:b/>
                <w:sz w:val="22"/>
              </w:rPr>
              <w:t>Position</w:t>
            </w:r>
          </w:p>
        </w:tc>
        <w:tc>
          <w:tcPr>
            <w:tcW w:w="226" w:type="dxa"/>
            <w:tcBorders/>
            <w:vAlign w:val="center"/>
          </w:tcPr>
          <w:p>
            <w:pPr>
              <w:pStyle w:val="TableContents"/>
              <w:bidi w:val="0"/>
              <w:spacing w:before="0" w:after="0"/>
              <w:ind w:left="0" w:right="0" w:hanging="0"/>
              <w:jc w:val="left"/>
              <w:rPr/>
            </w:pPr>
            <w:r>
              <w:rPr/>
              <w:t>  ​</w:t>
            </w:r>
          </w:p>
        </w:tc>
        <w:tc>
          <w:tcPr>
            <w:tcW w:w="992" w:type="dxa"/>
            <w:gridSpan w:val="2"/>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2"/>
              </w:rPr>
            </w:pPr>
            <w:r>
              <w:rPr>
                <w:rFonts w:ascii="Times New Roman;Times;serif" w:hAnsi="Times New Roman;Times;serif"/>
                <w:b/>
                <w:sz w:val="22"/>
              </w:rPr>
              <w:t>Amount</w:t>
            </w:r>
          </w:p>
        </w:tc>
        <w:tc>
          <w:tcPr>
            <w:tcW w:w="191" w:type="dxa"/>
            <w:tcBorders/>
            <w:vAlign w:val="center"/>
          </w:tcPr>
          <w:p>
            <w:pPr>
              <w:pStyle w:val="TableContents"/>
              <w:bidi w:val="0"/>
              <w:spacing w:before="0" w:after="0"/>
              <w:ind w:left="0" w:right="0" w:hanging="0"/>
              <w:jc w:val="left"/>
              <w:rPr/>
            </w:pPr>
            <w:r>
              <w:rPr/>
              <w:t> </w:t>
            </w:r>
          </w:p>
        </w:tc>
      </w:tr>
      <w:tr>
        <w:trPr/>
        <w:tc>
          <w:tcPr>
            <w:tcW w:w="7156" w:type="dxa"/>
            <w:tcBorders/>
            <w:shd w:fill="CCEEFF" w:val="clear"/>
            <w:vAlign w:val="center"/>
          </w:tcPr>
          <w:p>
            <w:pPr>
              <w:pStyle w:val="TableContents"/>
              <w:pBdr/>
              <w:shd w:fill="CCEEFF" w:val="clear"/>
              <w:bidi w:val="0"/>
              <w:spacing w:before="0" w:after="0"/>
              <w:ind w:left="0" w:right="0" w:hanging="0"/>
              <w:jc w:val="left"/>
              <w:rPr>
                <w:rFonts w:ascii="Times New Roman;Times;serif" w:hAnsi="Times New Roman;Times;serif"/>
                <w:sz w:val="22"/>
              </w:rPr>
            </w:pPr>
            <w:r>
              <w:rPr>
                <w:rFonts w:ascii="Times New Roman;Times;serif" w:hAnsi="Times New Roman;Times;serif"/>
                <w:sz w:val="22"/>
              </w:rPr>
              <w:t>Base Board Retainer</w:t>
            </w:r>
          </w:p>
        </w:tc>
        <w:tc>
          <w:tcPr>
            <w:tcW w:w="226" w:type="dxa"/>
            <w:tcBorders/>
            <w:shd w:fill="CCEEFF" w:val="clear"/>
            <w:vAlign w:val="center"/>
          </w:tcPr>
          <w:p>
            <w:pPr>
              <w:pStyle w:val="TableContents"/>
              <w:shd w:fill="CCEEFF" w:val="clear"/>
              <w:bidi w:val="0"/>
              <w:spacing w:before="0" w:after="0"/>
              <w:ind w:left="0" w:right="0" w:hanging="0"/>
              <w:jc w:val="left"/>
              <w:rPr/>
            </w:pPr>
            <w:r>
              <w:rPr/>
              <w:t>  ​</w:t>
            </w:r>
          </w:p>
        </w:tc>
        <w:tc>
          <w:tcPr>
            <w:tcW w:w="226" w:type="dxa"/>
            <w:tcBorders/>
            <w:shd w:fill="CCEEFF" w:val="clear"/>
            <w:vAlign w:val="center"/>
          </w:tcPr>
          <w:p>
            <w:pPr>
              <w:pStyle w:val="TableContents"/>
              <w:shd w:fill="CCEEFF" w:val="clear"/>
              <w:bidi w:val="0"/>
              <w:spacing w:before="0" w:after="0"/>
              <w:ind w:left="0" w:right="0" w:hanging="0"/>
              <w:jc w:val="left"/>
              <w:rPr>
                <w:rFonts w:ascii="Times New Roman;Times;serif" w:hAnsi="Times New Roman;Times;serif"/>
                <w:sz w:val="22"/>
              </w:rPr>
            </w:pPr>
            <w:r>
              <w:rPr>
                <w:rFonts w:ascii="Times New Roman;Times;serif" w:hAnsi="Times New Roman;Times;serif"/>
                <w:sz w:val="22"/>
              </w:rPr>
              <w:t>$</w:t>
            </w:r>
          </w:p>
        </w:tc>
        <w:tc>
          <w:tcPr>
            <w:tcW w:w="766" w:type="dxa"/>
            <w:tcBorders/>
            <w:shd w:fill="CCEEFF" w:val="clear"/>
            <w:vAlign w:val="center"/>
          </w:tcPr>
          <w:p>
            <w:pPr>
              <w:pStyle w:val="TableContents"/>
              <w:shd w:fill="CCEEFF" w:val="clear"/>
              <w:bidi w:val="0"/>
              <w:spacing w:before="0" w:after="0"/>
              <w:ind w:left="0" w:right="0" w:hanging="0"/>
              <w:jc w:val="right"/>
              <w:rPr>
                <w:rFonts w:ascii="Times New Roman;Times;serif" w:hAnsi="Times New Roman;Times;serif"/>
                <w:sz w:val="22"/>
              </w:rPr>
            </w:pPr>
            <w:r>
              <w:rPr>
                <w:rFonts w:ascii="Times New Roman;Times;serif" w:hAnsi="Times New Roman;Times;serif"/>
                <w:sz w:val="22"/>
              </w:rPr>
              <w:t>40,000</w:t>
            </w:r>
          </w:p>
        </w:tc>
        <w:tc>
          <w:tcPr>
            <w:tcW w:w="191" w:type="dxa"/>
            <w:tcBorders/>
            <w:shd w:fill="CCEEFF" w:val="clear"/>
            <w:vAlign w:val="center"/>
          </w:tcPr>
          <w:p>
            <w:pPr>
              <w:pStyle w:val="TableContents"/>
              <w:shd w:fill="CCEEFF" w:val="clear"/>
              <w:bidi w:val="0"/>
              <w:spacing w:before="0" w:after="0"/>
              <w:ind w:left="0" w:right="0" w:hanging="0"/>
              <w:jc w:val="left"/>
              <w:rPr/>
            </w:pPr>
            <w:r>
              <w:rPr/>
              <w:t> </w:t>
            </w:r>
          </w:p>
        </w:tc>
      </w:tr>
      <w:tr>
        <w:trPr/>
        <w:tc>
          <w:tcPr>
            <w:tcW w:w="7156" w:type="dxa"/>
            <w:tcBorders/>
            <w:vAlign w:val="center"/>
          </w:tcPr>
          <w:p>
            <w:pPr>
              <w:pStyle w:val="TableContents"/>
              <w:pBdr/>
              <w:bidi w:val="0"/>
              <w:spacing w:before="0" w:after="0"/>
              <w:ind w:left="0" w:right="0" w:hanging="0"/>
              <w:jc w:val="left"/>
              <w:rPr>
                <w:rFonts w:ascii="Times New Roman;Times;serif" w:hAnsi="Times New Roman;Times;serif"/>
                <w:sz w:val="22"/>
              </w:rPr>
            </w:pPr>
            <w:r>
              <w:rPr>
                <w:rFonts w:ascii="Times New Roman;Times;serif" w:hAnsi="Times New Roman;Times;serif"/>
                <w:sz w:val="22"/>
              </w:rPr>
              <w:t>Non-Executive Chair of the Board (in addition to above Base Retainer)</w:t>
            </w:r>
          </w:p>
        </w:tc>
        <w:tc>
          <w:tcPr>
            <w:tcW w:w="226" w:type="dxa"/>
            <w:tcBorders/>
            <w:vAlign w:val="center"/>
          </w:tcPr>
          <w:p>
            <w:pPr>
              <w:pStyle w:val="TableContents"/>
              <w:bidi w:val="0"/>
              <w:spacing w:before="0" w:after="0"/>
              <w:ind w:left="0" w:right="0" w:hanging="0"/>
              <w:jc w:val="left"/>
              <w:rPr/>
            </w:pPr>
            <w:r>
              <w:rPr/>
              <w:t>  ​</w:t>
            </w:r>
          </w:p>
        </w:tc>
        <w:tc>
          <w:tcPr>
            <w:tcW w:w="226"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w:t>
            </w:r>
          </w:p>
        </w:tc>
        <w:tc>
          <w:tcPr>
            <w:tcW w:w="766" w:type="dxa"/>
            <w:tcBorders/>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35,000</w:t>
            </w:r>
          </w:p>
        </w:tc>
        <w:tc>
          <w:tcPr>
            <w:tcW w:w="191" w:type="dxa"/>
            <w:tcBorders/>
            <w:vAlign w:val="center"/>
          </w:tcPr>
          <w:p>
            <w:pPr>
              <w:pStyle w:val="TableContents"/>
              <w:bidi w:val="0"/>
              <w:spacing w:before="0" w:after="0"/>
              <w:ind w:left="0" w:right="0" w:hanging="0"/>
              <w:jc w:val="left"/>
              <w:rPr/>
            </w:pPr>
            <w:r>
              <w:rPr/>
              <w:t> </w:t>
            </w:r>
          </w:p>
        </w:tc>
      </w:tr>
      <w:tr>
        <w:trPr/>
        <w:tc>
          <w:tcPr>
            <w:tcW w:w="7156" w:type="dxa"/>
            <w:tcBorders/>
            <w:shd w:fill="CCEEFF" w:val="clear"/>
            <w:vAlign w:val="center"/>
          </w:tcPr>
          <w:p>
            <w:pPr>
              <w:pStyle w:val="TableContents"/>
              <w:pBdr/>
              <w:shd w:fill="CCEEFF" w:val="clear"/>
              <w:bidi w:val="0"/>
              <w:spacing w:before="0" w:after="0"/>
              <w:ind w:left="0" w:right="0" w:hanging="0"/>
              <w:jc w:val="left"/>
              <w:rPr>
                <w:rFonts w:ascii="Times New Roman;Times;serif" w:hAnsi="Times New Roman;Times;serif"/>
                <w:sz w:val="22"/>
              </w:rPr>
            </w:pPr>
            <w:r>
              <w:rPr>
                <w:rFonts w:ascii="Times New Roman;Times;serif" w:hAnsi="Times New Roman;Times;serif"/>
                <w:sz w:val="22"/>
              </w:rPr>
              <w:t>Chair of Audit Committee</w:t>
            </w:r>
          </w:p>
        </w:tc>
        <w:tc>
          <w:tcPr>
            <w:tcW w:w="226" w:type="dxa"/>
            <w:tcBorders/>
            <w:shd w:fill="CCEEFF" w:val="clear"/>
            <w:vAlign w:val="center"/>
          </w:tcPr>
          <w:p>
            <w:pPr>
              <w:pStyle w:val="TableContents"/>
              <w:shd w:fill="CCEEFF" w:val="clear"/>
              <w:bidi w:val="0"/>
              <w:spacing w:before="0" w:after="0"/>
              <w:ind w:left="0" w:right="0" w:hanging="0"/>
              <w:jc w:val="left"/>
              <w:rPr/>
            </w:pPr>
            <w:r>
              <w:rPr/>
              <w:t>  ​</w:t>
            </w:r>
          </w:p>
        </w:tc>
        <w:tc>
          <w:tcPr>
            <w:tcW w:w="226" w:type="dxa"/>
            <w:tcBorders/>
            <w:shd w:fill="CCEEFF" w:val="clear"/>
            <w:vAlign w:val="center"/>
          </w:tcPr>
          <w:p>
            <w:pPr>
              <w:pStyle w:val="TableContents"/>
              <w:shd w:fill="CCEEFF" w:val="clear"/>
              <w:bidi w:val="0"/>
              <w:spacing w:before="0" w:after="0"/>
              <w:ind w:left="0" w:right="0" w:hanging="0"/>
              <w:jc w:val="left"/>
              <w:rPr>
                <w:rFonts w:ascii="Times New Roman;Times;serif" w:hAnsi="Times New Roman;Times;serif"/>
                <w:sz w:val="22"/>
              </w:rPr>
            </w:pPr>
            <w:r>
              <w:rPr>
                <w:rFonts w:ascii="Times New Roman;Times;serif" w:hAnsi="Times New Roman;Times;serif"/>
                <w:sz w:val="22"/>
              </w:rPr>
              <w:t>$</w:t>
            </w:r>
          </w:p>
        </w:tc>
        <w:tc>
          <w:tcPr>
            <w:tcW w:w="766" w:type="dxa"/>
            <w:tcBorders/>
            <w:shd w:fill="CCEEFF" w:val="clear"/>
            <w:vAlign w:val="center"/>
          </w:tcPr>
          <w:p>
            <w:pPr>
              <w:pStyle w:val="TableContents"/>
              <w:shd w:fill="CCEEFF" w:val="clear"/>
              <w:bidi w:val="0"/>
              <w:spacing w:before="0" w:after="0"/>
              <w:ind w:left="0" w:right="0" w:hanging="0"/>
              <w:jc w:val="right"/>
              <w:rPr>
                <w:rFonts w:ascii="Times New Roman;Times;serif" w:hAnsi="Times New Roman;Times;serif"/>
                <w:sz w:val="22"/>
              </w:rPr>
            </w:pPr>
            <w:r>
              <w:rPr>
                <w:rFonts w:ascii="Times New Roman;Times;serif" w:hAnsi="Times New Roman;Times;serif"/>
                <w:sz w:val="22"/>
              </w:rPr>
              <w:t>18,000</w:t>
            </w:r>
          </w:p>
        </w:tc>
        <w:tc>
          <w:tcPr>
            <w:tcW w:w="191" w:type="dxa"/>
            <w:tcBorders/>
            <w:shd w:fill="CCEEFF" w:val="clear"/>
            <w:vAlign w:val="center"/>
          </w:tcPr>
          <w:p>
            <w:pPr>
              <w:pStyle w:val="TableContents"/>
              <w:shd w:fill="CCEEFF" w:val="clear"/>
              <w:bidi w:val="0"/>
              <w:spacing w:before="0" w:after="0"/>
              <w:ind w:left="0" w:right="0" w:hanging="0"/>
              <w:jc w:val="left"/>
              <w:rPr/>
            </w:pPr>
            <w:r>
              <w:rPr/>
              <w:t> </w:t>
            </w:r>
          </w:p>
        </w:tc>
      </w:tr>
      <w:tr>
        <w:trPr/>
        <w:tc>
          <w:tcPr>
            <w:tcW w:w="7156" w:type="dxa"/>
            <w:tcBorders/>
            <w:vAlign w:val="center"/>
          </w:tcPr>
          <w:p>
            <w:pPr>
              <w:pStyle w:val="TableContents"/>
              <w:pBdr/>
              <w:bidi w:val="0"/>
              <w:spacing w:before="0" w:after="0"/>
              <w:ind w:left="0" w:right="0" w:hanging="0"/>
              <w:jc w:val="left"/>
              <w:rPr>
                <w:rFonts w:ascii="Times New Roman;Times;serif" w:hAnsi="Times New Roman;Times;serif"/>
                <w:sz w:val="22"/>
              </w:rPr>
            </w:pPr>
            <w:r>
              <w:rPr>
                <w:rFonts w:ascii="Times New Roman;Times;serif" w:hAnsi="Times New Roman;Times;serif"/>
                <w:sz w:val="22"/>
              </w:rPr>
              <w:t>Chair of Compensation Committee</w:t>
            </w:r>
          </w:p>
        </w:tc>
        <w:tc>
          <w:tcPr>
            <w:tcW w:w="226" w:type="dxa"/>
            <w:tcBorders/>
            <w:vAlign w:val="center"/>
          </w:tcPr>
          <w:p>
            <w:pPr>
              <w:pStyle w:val="TableContents"/>
              <w:bidi w:val="0"/>
              <w:spacing w:before="0" w:after="0"/>
              <w:ind w:left="0" w:right="0" w:hanging="0"/>
              <w:jc w:val="left"/>
              <w:rPr/>
            </w:pPr>
            <w:r>
              <w:rPr/>
              <w:t>  ​</w:t>
            </w:r>
          </w:p>
        </w:tc>
        <w:tc>
          <w:tcPr>
            <w:tcW w:w="226"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w:t>
            </w:r>
          </w:p>
        </w:tc>
        <w:tc>
          <w:tcPr>
            <w:tcW w:w="766" w:type="dxa"/>
            <w:tcBorders/>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12,000</w:t>
            </w:r>
          </w:p>
        </w:tc>
        <w:tc>
          <w:tcPr>
            <w:tcW w:w="191" w:type="dxa"/>
            <w:tcBorders/>
            <w:vAlign w:val="center"/>
          </w:tcPr>
          <w:p>
            <w:pPr>
              <w:pStyle w:val="TableContents"/>
              <w:bidi w:val="0"/>
              <w:spacing w:before="0" w:after="0"/>
              <w:ind w:left="0" w:right="0" w:hanging="0"/>
              <w:jc w:val="left"/>
              <w:rPr/>
            </w:pPr>
            <w:r>
              <w:rPr/>
              <w:t> </w:t>
            </w:r>
          </w:p>
        </w:tc>
      </w:tr>
      <w:tr>
        <w:trPr/>
        <w:tc>
          <w:tcPr>
            <w:tcW w:w="7156" w:type="dxa"/>
            <w:tcBorders/>
            <w:shd w:fill="CCEEFF" w:val="clear"/>
            <w:vAlign w:val="center"/>
          </w:tcPr>
          <w:p>
            <w:pPr>
              <w:pStyle w:val="TableContents"/>
              <w:pBdr/>
              <w:shd w:fill="CCEEFF" w:val="clear"/>
              <w:bidi w:val="0"/>
              <w:spacing w:before="0" w:after="0"/>
              <w:ind w:left="0" w:right="0" w:hanging="0"/>
              <w:jc w:val="left"/>
              <w:rPr>
                <w:rFonts w:ascii="Times New Roman;Times;serif" w:hAnsi="Times New Roman;Times;serif"/>
                <w:sz w:val="22"/>
              </w:rPr>
            </w:pPr>
            <w:r>
              <w:rPr>
                <w:rFonts w:ascii="Times New Roman;Times;serif" w:hAnsi="Times New Roman;Times;serif"/>
                <w:sz w:val="22"/>
              </w:rPr>
              <w:t>Chair of Nominating and Corporate Governance Committee</w:t>
            </w:r>
          </w:p>
        </w:tc>
        <w:tc>
          <w:tcPr>
            <w:tcW w:w="226" w:type="dxa"/>
            <w:tcBorders/>
            <w:shd w:fill="CCEEFF" w:val="clear"/>
            <w:vAlign w:val="center"/>
          </w:tcPr>
          <w:p>
            <w:pPr>
              <w:pStyle w:val="TableContents"/>
              <w:shd w:fill="CCEEFF" w:val="clear"/>
              <w:bidi w:val="0"/>
              <w:spacing w:before="0" w:after="0"/>
              <w:ind w:left="0" w:right="0" w:hanging="0"/>
              <w:jc w:val="left"/>
              <w:rPr/>
            </w:pPr>
            <w:r>
              <w:rPr/>
              <w:t>  ​</w:t>
            </w:r>
          </w:p>
        </w:tc>
        <w:tc>
          <w:tcPr>
            <w:tcW w:w="226" w:type="dxa"/>
            <w:tcBorders/>
            <w:shd w:fill="CCEEFF" w:val="clear"/>
            <w:vAlign w:val="center"/>
          </w:tcPr>
          <w:p>
            <w:pPr>
              <w:pStyle w:val="TableContents"/>
              <w:shd w:fill="CCEEFF" w:val="clear"/>
              <w:bidi w:val="0"/>
              <w:spacing w:before="0" w:after="0"/>
              <w:ind w:left="0" w:right="0" w:hanging="0"/>
              <w:jc w:val="left"/>
              <w:rPr>
                <w:rFonts w:ascii="Times New Roman;Times;serif" w:hAnsi="Times New Roman;Times;serif"/>
                <w:sz w:val="22"/>
              </w:rPr>
            </w:pPr>
            <w:r>
              <w:rPr>
                <w:rFonts w:ascii="Times New Roman;Times;serif" w:hAnsi="Times New Roman;Times;serif"/>
                <w:sz w:val="22"/>
              </w:rPr>
              <w:t>$</w:t>
            </w:r>
          </w:p>
        </w:tc>
        <w:tc>
          <w:tcPr>
            <w:tcW w:w="766" w:type="dxa"/>
            <w:tcBorders/>
            <w:shd w:fill="CCEEFF" w:val="clear"/>
            <w:vAlign w:val="center"/>
          </w:tcPr>
          <w:p>
            <w:pPr>
              <w:pStyle w:val="TableContents"/>
              <w:shd w:fill="CCEEFF" w:val="clear"/>
              <w:bidi w:val="0"/>
              <w:spacing w:before="0" w:after="0"/>
              <w:ind w:left="0" w:right="0" w:hanging="0"/>
              <w:jc w:val="right"/>
              <w:rPr>
                <w:rFonts w:ascii="Times New Roman;Times;serif" w:hAnsi="Times New Roman;Times;serif"/>
                <w:sz w:val="22"/>
              </w:rPr>
            </w:pPr>
            <w:r>
              <w:rPr>
                <w:rFonts w:ascii="Times New Roman;Times;serif" w:hAnsi="Times New Roman;Times;serif"/>
                <w:sz w:val="22"/>
              </w:rPr>
              <w:t>10,000</w:t>
            </w:r>
          </w:p>
        </w:tc>
        <w:tc>
          <w:tcPr>
            <w:tcW w:w="191" w:type="dxa"/>
            <w:tcBorders/>
            <w:shd w:fill="CCEEFF" w:val="clear"/>
            <w:vAlign w:val="center"/>
          </w:tcPr>
          <w:p>
            <w:pPr>
              <w:pStyle w:val="TableContents"/>
              <w:shd w:fill="CCEEFF" w:val="clear"/>
              <w:bidi w:val="0"/>
              <w:spacing w:before="0" w:after="0"/>
              <w:ind w:left="0" w:right="0" w:hanging="0"/>
              <w:jc w:val="left"/>
              <w:rPr/>
            </w:pPr>
            <w:r>
              <w:rPr/>
              <w:t> </w:t>
            </w:r>
          </w:p>
        </w:tc>
      </w:tr>
      <w:tr>
        <w:trPr/>
        <w:tc>
          <w:tcPr>
            <w:tcW w:w="7156" w:type="dxa"/>
            <w:tcBorders/>
            <w:vAlign w:val="center"/>
          </w:tcPr>
          <w:p>
            <w:pPr>
              <w:pStyle w:val="TableContents"/>
              <w:pBdr/>
              <w:bidi w:val="0"/>
              <w:spacing w:before="0" w:after="0"/>
              <w:ind w:left="0" w:right="0" w:hanging="0"/>
              <w:jc w:val="left"/>
              <w:rPr>
                <w:rFonts w:ascii="Times New Roman;Times;serif" w:hAnsi="Times New Roman;Times;serif"/>
                <w:sz w:val="22"/>
              </w:rPr>
            </w:pPr>
            <w:r>
              <w:rPr>
                <w:rFonts w:ascii="Times New Roman;Times;serif" w:hAnsi="Times New Roman;Times;serif"/>
                <w:sz w:val="22"/>
              </w:rPr>
              <w:t>Member of Audit Committee (non-Chair)</w:t>
            </w:r>
          </w:p>
        </w:tc>
        <w:tc>
          <w:tcPr>
            <w:tcW w:w="226" w:type="dxa"/>
            <w:tcBorders/>
            <w:vAlign w:val="center"/>
          </w:tcPr>
          <w:p>
            <w:pPr>
              <w:pStyle w:val="TableContents"/>
              <w:bidi w:val="0"/>
              <w:spacing w:before="0" w:after="0"/>
              <w:ind w:left="0" w:right="0" w:hanging="0"/>
              <w:jc w:val="left"/>
              <w:rPr/>
            </w:pPr>
            <w:r>
              <w:rPr/>
              <w:t>  ​</w:t>
            </w:r>
          </w:p>
        </w:tc>
        <w:tc>
          <w:tcPr>
            <w:tcW w:w="226"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w:t>
            </w:r>
          </w:p>
        </w:tc>
        <w:tc>
          <w:tcPr>
            <w:tcW w:w="766" w:type="dxa"/>
            <w:tcBorders/>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9,000</w:t>
            </w:r>
          </w:p>
        </w:tc>
        <w:tc>
          <w:tcPr>
            <w:tcW w:w="191" w:type="dxa"/>
            <w:tcBorders/>
            <w:vAlign w:val="center"/>
          </w:tcPr>
          <w:p>
            <w:pPr>
              <w:pStyle w:val="TableContents"/>
              <w:bidi w:val="0"/>
              <w:spacing w:before="0" w:after="0"/>
              <w:ind w:left="0" w:right="0" w:hanging="0"/>
              <w:jc w:val="left"/>
              <w:rPr/>
            </w:pPr>
            <w:r>
              <w:rPr/>
              <w:t> </w:t>
            </w:r>
          </w:p>
        </w:tc>
      </w:tr>
      <w:tr>
        <w:trPr/>
        <w:tc>
          <w:tcPr>
            <w:tcW w:w="7156" w:type="dxa"/>
            <w:tcBorders/>
            <w:shd w:fill="CCEEFF" w:val="clear"/>
            <w:vAlign w:val="center"/>
          </w:tcPr>
          <w:p>
            <w:pPr>
              <w:pStyle w:val="TableContents"/>
              <w:pBdr/>
              <w:shd w:fill="CCEEFF" w:val="clear"/>
              <w:bidi w:val="0"/>
              <w:spacing w:before="0" w:after="0"/>
              <w:ind w:left="0" w:right="0" w:hanging="0"/>
              <w:jc w:val="left"/>
              <w:rPr>
                <w:rFonts w:ascii="Times New Roman;Times;serif" w:hAnsi="Times New Roman;Times;serif"/>
                <w:sz w:val="22"/>
              </w:rPr>
            </w:pPr>
            <w:r>
              <w:rPr>
                <w:rFonts w:ascii="Times New Roman;Times;serif" w:hAnsi="Times New Roman;Times;serif"/>
                <w:sz w:val="22"/>
              </w:rPr>
              <w:t>Member of Compensation Committee (non-Chair)</w:t>
            </w:r>
          </w:p>
        </w:tc>
        <w:tc>
          <w:tcPr>
            <w:tcW w:w="226" w:type="dxa"/>
            <w:tcBorders/>
            <w:shd w:fill="CCEEFF" w:val="clear"/>
            <w:vAlign w:val="center"/>
          </w:tcPr>
          <w:p>
            <w:pPr>
              <w:pStyle w:val="TableContents"/>
              <w:shd w:fill="CCEEFF" w:val="clear"/>
              <w:bidi w:val="0"/>
              <w:spacing w:before="0" w:after="0"/>
              <w:ind w:left="0" w:right="0" w:hanging="0"/>
              <w:jc w:val="left"/>
              <w:rPr/>
            </w:pPr>
            <w:r>
              <w:rPr/>
              <w:t>  ​</w:t>
            </w:r>
          </w:p>
        </w:tc>
        <w:tc>
          <w:tcPr>
            <w:tcW w:w="226" w:type="dxa"/>
            <w:tcBorders/>
            <w:shd w:fill="CCEEFF" w:val="clear"/>
            <w:vAlign w:val="center"/>
          </w:tcPr>
          <w:p>
            <w:pPr>
              <w:pStyle w:val="TableContents"/>
              <w:shd w:fill="CCEEFF" w:val="clear"/>
              <w:bidi w:val="0"/>
              <w:spacing w:before="0" w:after="0"/>
              <w:ind w:left="0" w:right="0" w:hanging="0"/>
              <w:jc w:val="left"/>
              <w:rPr>
                <w:rFonts w:ascii="Times New Roman;Times;serif" w:hAnsi="Times New Roman;Times;serif"/>
                <w:sz w:val="22"/>
              </w:rPr>
            </w:pPr>
            <w:r>
              <w:rPr>
                <w:rFonts w:ascii="Times New Roman;Times;serif" w:hAnsi="Times New Roman;Times;serif"/>
                <w:sz w:val="22"/>
              </w:rPr>
              <w:t>$</w:t>
            </w:r>
          </w:p>
        </w:tc>
        <w:tc>
          <w:tcPr>
            <w:tcW w:w="766" w:type="dxa"/>
            <w:tcBorders/>
            <w:shd w:fill="CCEEFF" w:val="clear"/>
            <w:vAlign w:val="center"/>
          </w:tcPr>
          <w:p>
            <w:pPr>
              <w:pStyle w:val="TableContents"/>
              <w:shd w:fill="CCEEFF" w:val="clear"/>
              <w:bidi w:val="0"/>
              <w:spacing w:before="0" w:after="0"/>
              <w:ind w:left="0" w:right="0" w:hanging="0"/>
              <w:jc w:val="right"/>
              <w:rPr>
                <w:rFonts w:ascii="Times New Roman;Times;serif" w:hAnsi="Times New Roman;Times;serif"/>
                <w:sz w:val="22"/>
              </w:rPr>
            </w:pPr>
            <w:r>
              <w:rPr>
                <w:rFonts w:ascii="Times New Roman;Times;serif" w:hAnsi="Times New Roman;Times;serif"/>
                <w:sz w:val="22"/>
              </w:rPr>
              <w:t>6,000</w:t>
            </w:r>
          </w:p>
        </w:tc>
        <w:tc>
          <w:tcPr>
            <w:tcW w:w="191" w:type="dxa"/>
            <w:tcBorders/>
            <w:shd w:fill="CCEEFF" w:val="clear"/>
            <w:vAlign w:val="center"/>
          </w:tcPr>
          <w:p>
            <w:pPr>
              <w:pStyle w:val="TableContents"/>
              <w:shd w:fill="CCEEFF" w:val="clear"/>
              <w:bidi w:val="0"/>
              <w:spacing w:before="0" w:after="0"/>
              <w:ind w:left="0" w:right="0" w:hanging="0"/>
              <w:jc w:val="left"/>
              <w:rPr/>
            </w:pPr>
            <w:r>
              <w:rPr/>
              <w:t> </w:t>
            </w:r>
          </w:p>
        </w:tc>
      </w:tr>
      <w:tr>
        <w:trPr/>
        <w:tc>
          <w:tcPr>
            <w:tcW w:w="7156" w:type="dxa"/>
            <w:tcBorders/>
            <w:vAlign w:val="center"/>
          </w:tcPr>
          <w:p>
            <w:pPr>
              <w:pStyle w:val="TableContents"/>
              <w:pBdr/>
              <w:bidi w:val="0"/>
              <w:spacing w:before="0" w:after="0"/>
              <w:ind w:left="0" w:right="0" w:hanging="0"/>
              <w:jc w:val="left"/>
              <w:rPr>
                <w:rFonts w:ascii="Times New Roman;Times;serif" w:hAnsi="Times New Roman;Times;serif"/>
                <w:sz w:val="22"/>
              </w:rPr>
            </w:pPr>
            <w:r>
              <w:rPr>
                <w:rFonts w:ascii="Times New Roman;Times;serif" w:hAnsi="Times New Roman;Times;serif"/>
                <w:sz w:val="22"/>
              </w:rPr>
              <w:t>Member of Nominating and Corporate Governance Committee (non-Chair)</w:t>
            </w:r>
          </w:p>
        </w:tc>
        <w:tc>
          <w:tcPr>
            <w:tcW w:w="226" w:type="dxa"/>
            <w:tcBorders/>
            <w:vAlign w:val="center"/>
          </w:tcPr>
          <w:p>
            <w:pPr>
              <w:pStyle w:val="TableContents"/>
              <w:bidi w:val="0"/>
              <w:spacing w:before="0" w:after="0"/>
              <w:ind w:left="0" w:right="0" w:hanging="0"/>
              <w:jc w:val="left"/>
              <w:rPr/>
            </w:pPr>
            <w:r>
              <w:rPr/>
              <w:t>  ​</w:t>
            </w:r>
          </w:p>
        </w:tc>
        <w:tc>
          <w:tcPr>
            <w:tcW w:w="226"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w:t>
            </w:r>
          </w:p>
        </w:tc>
        <w:tc>
          <w:tcPr>
            <w:tcW w:w="766" w:type="dxa"/>
            <w:tcBorders/>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5,000</w:t>
            </w:r>
          </w:p>
        </w:tc>
        <w:tc>
          <w:tcPr>
            <w:tcW w:w="191" w:type="dxa"/>
            <w:tcBorders/>
            <w:vAlign w:val="center"/>
          </w:tcPr>
          <w:p>
            <w:pPr>
              <w:pStyle w:val="TableContents"/>
              <w:bidi w:val="0"/>
              <w:spacing w:before="0" w:after="0"/>
              <w:ind w:left="0" w:right="0" w:hanging="0"/>
              <w:jc w:val="left"/>
              <w:rPr/>
            </w:pPr>
            <w:r>
              <w:rPr/>
              <w:t> </w:t>
            </w:r>
          </w:p>
        </w:tc>
      </w:tr>
    </w:tbl>
    <w:p>
      <w:pPr>
        <w:pStyle w:val="TextBody"/>
        <w:bidi w:val="0"/>
        <w:spacing w:before="0" w:after="0"/>
        <w:ind w:left="0" w:right="0" w:hanging="0"/>
        <w:jc w:val="left"/>
        <w:rPr>
          <w:shd w:fill="FFFFFF" w:val="clear"/>
        </w:rPr>
      </w:pPr>
      <w:r>
        <w:rPr>
          <w:shd w:fill="FFFFFF" w:val="clear"/>
        </w:rPr>
        <w:t>​</w:t>
      </w:r>
    </w:p>
    <w:p>
      <w:pPr>
        <w:pStyle w:val="TextBody"/>
        <w:bidi w:val="0"/>
        <w:spacing w:before="0" w:after="240"/>
        <w:ind w:left="0" w:right="0" w:firstLine="720"/>
        <w:jc w:val="both"/>
        <w:rPr>
          <w:rFonts w:ascii="Times New Roman;Times;serif" w:hAnsi="Times New Roman;Times;serif"/>
          <w:sz w:val="22"/>
          <w:shd w:fill="FFFFFF" w:val="clear"/>
        </w:rPr>
      </w:pPr>
      <w:r>
        <w:rPr>
          <w:rFonts w:ascii="Times New Roman;Times;serif" w:hAnsi="Times New Roman;Times;serif"/>
          <w:sz w:val="22"/>
          <w:shd w:fill="FFFFFF" w:val="clear"/>
        </w:rPr>
        <w:t xml:space="preserve">For the avoidance of doubt, the Annual Retainers in the table above are additive and a Non-Employee Director shall be eligible to earn an Annual Retainer for each position in which he or she serves.  In addition, the Annual Retainers will be prorated for the first calendar quarter in which the Effective Date occurs, which proration will be based on the number of days of the calendar quarter remaining in such quarter after the Effective Date.  The Board may adopt a program that allows Non-Employee Directors to defer Annual Retainers. </w:t>
      </w:r>
    </w:p>
    <w:p>
      <w:pPr>
        <w:pStyle w:val="TextBody"/>
        <w:bidi w:val="0"/>
        <w:spacing w:before="0" w:after="0"/>
        <w:ind w:left="0" w:right="0" w:hanging="0"/>
        <w:jc w:val="center"/>
        <w:rPr>
          <w:rFonts w:ascii="Times New Roman;Times;serif" w:hAnsi="Times New Roman;Times;serif"/>
          <w:sz w:val="22"/>
        </w:rPr>
      </w:pPr>
      <w:r>
        <w:rPr>
          <w:rFonts w:ascii="Times New Roman;Times;serif" w:hAnsi="Times New Roman;Times;serif"/>
          <w:sz w:val="22"/>
        </w:rPr>
        <w:t>1</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sz w:val="22"/>
          <w:shd w:fill="FFFFFF" w:val="clear"/>
        </w:rPr>
      </w:pPr>
      <w:r>
        <w:rPr>
          <w:rFonts w:ascii="Times New Roman;Times;serif" w:hAnsi="Times New Roman;Times;serif"/>
          <w:b/>
          <w:sz w:val="24"/>
          <w:shd w:fill="FFFFFF" w:val="clear"/>
        </w:rPr>
        <w:t>II.</w:t>
      </w:r>
      <w:r>
        <w:rPr>
          <w:rFonts w:ascii="Times New Roman;Times;serif" w:hAnsi="Times New Roman;Times;serif"/>
          <w:b/>
          <w:sz w:val="22"/>
          <w:shd w:fill="FFFFFF" w:val="clear"/>
        </w:rPr>
        <w:t>EQUITY COMPENSATION.  </w:t>
      </w:r>
      <w:r>
        <w:rPr>
          <w:rFonts w:ascii="Times New Roman;Times;serif" w:hAnsi="Times New Roman;Times;serif"/>
          <w:sz w:val="22"/>
          <w:shd w:fill="FFFFFF" w:val="clear"/>
        </w:rPr>
        <w:t xml:space="preserve">The equity compensation set forth below will be granted under the Plan and the applicable RSU Award Agreement. </w:t>
      </w:r>
    </w:p>
    <w:p>
      <w:pPr>
        <w:pStyle w:val="TextBody"/>
        <w:bidi w:val="0"/>
        <w:ind w:left="0" w:right="0" w:hanging="0"/>
        <w:jc w:val="both"/>
        <w:rPr>
          <w:rFonts w:ascii="Times New Roman;Times;serif" w:hAnsi="Times New Roman;Times;serif"/>
          <w:sz w:val="22"/>
          <w:shd w:fill="FFFFFF" w:val="clear"/>
        </w:rPr>
      </w:pPr>
      <w:r>
        <w:rPr>
          <w:rFonts w:ascii="Times New Roman;Times;serif" w:hAnsi="Times New Roman;Times;serif"/>
          <w:b/>
          <w:sz w:val="22"/>
          <w:shd w:fill="FFFFFF" w:val="clear"/>
        </w:rPr>
        <w:t>1.</w:t>
      </w:r>
      <w:r>
        <w:rPr>
          <w:rFonts w:ascii="Times New Roman;Times;serif" w:hAnsi="Times New Roman;Times;serif"/>
          <w:b/>
          <w:smallCaps/>
          <w:sz w:val="22"/>
          <w:shd w:fill="FFFFFF" w:val="clear"/>
        </w:rPr>
        <w:t xml:space="preserve">Automatic Initial Grant. </w:t>
      </w:r>
      <w:r>
        <w:rPr>
          <w:rFonts w:ascii="Times New Roman;Times;serif" w:hAnsi="Times New Roman;Times;serif"/>
          <w:sz w:val="22"/>
          <w:shd w:fill="FFFFFF" w:val="clear"/>
        </w:rPr>
        <w:t>For each Non-Employee Director who is first elected or appointed to the Board on or following the Effective Date, at the close of business on the date of such Non-Employee Director’s initial election or appointment to the Board, such Non-Employee Director will be automatically, and without further action by the Board or the Compensation Committee, granted a restricted stock unit award (an “</w:t>
      </w:r>
      <w:r>
        <w:rPr>
          <w:rFonts w:ascii="Times New Roman;Times;serif" w:hAnsi="Times New Roman;Times;serif"/>
          <w:b/>
          <w:i/>
          <w:sz w:val="22"/>
          <w:shd w:fill="FFFFFF" w:val="clear"/>
        </w:rPr>
        <w:t>RSU Award”</w:t>
      </w:r>
      <w:r>
        <w:rPr>
          <w:rFonts w:ascii="Times New Roman;Times;serif" w:hAnsi="Times New Roman;Times;serif"/>
          <w:sz w:val="22"/>
          <w:shd w:fill="FFFFFF" w:val="clear"/>
        </w:rPr>
        <w:t>) covering a number of restricted stock units equal to (a) $40,000 divided by (b) the average Fair Market Value of a share of the Company’s common stock (the “</w:t>
      </w:r>
      <w:r>
        <w:rPr>
          <w:rFonts w:ascii="Times New Roman;Times;serif" w:hAnsi="Times New Roman;Times;serif"/>
          <w:b/>
          <w:i/>
          <w:sz w:val="22"/>
          <w:shd w:fill="FFFFFF" w:val="clear"/>
        </w:rPr>
        <w:t>Common Stock”</w:t>
      </w:r>
      <w:r>
        <w:rPr>
          <w:rFonts w:ascii="Times New Roman;Times;serif" w:hAnsi="Times New Roman;Times;serif"/>
          <w:sz w:val="22"/>
          <w:shd w:fill="FFFFFF" w:val="clear"/>
        </w:rPr>
        <w:t>)</w:t>
      </w:r>
      <w:r>
        <w:rPr>
          <w:rFonts w:ascii="Times New Roman;Times;serif" w:hAnsi="Times New Roman;Times;serif"/>
          <w:smallCaps/>
          <w:sz w:val="22"/>
          <w:shd w:fill="FFFFFF" w:val="clear"/>
        </w:rPr>
        <w:t xml:space="preserve"> </w:t>
      </w:r>
      <w:r>
        <w:rPr>
          <w:rFonts w:ascii="Times New Roman;Times;serif" w:hAnsi="Times New Roman;Times;serif"/>
          <w:sz w:val="22"/>
          <w:shd w:fill="FFFFFF" w:val="clear"/>
        </w:rPr>
        <w:t>for the 30 consecutive market trading days ending on and including the last market trading day prior to the grant date of such RSU Award, rounded down to the nearest whole unit (each, an “</w:t>
      </w:r>
      <w:r>
        <w:rPr>
          <w:rFonts w:ascii="Times New Roman;Times;serif" w:hAnsi="Times New Roman;Times;serif"/>
          <w:b/>
          <w:i/>
          <w:sz w:val="22"/>
          <w:shd w:fill="FFFFFF" w:val="clear"/>
        </w:rPr>
        <w:t>Initial Grant”</w:t>
      </w:r>
      <w:r>
        <w:rPr>
          <w:rFonts w:ascii="Times New Roman;Times;serif" w:hAnsi="Times New Roman;Times;serif"/>
          <w:sz w:val="22"/>
          <w:shd w:fill="FFFFFF" w:val="clear"/>
        </w:rPr>
        <w:t xml:space="preserve">).  50% of each Initial Grant will be vested as of the date of grant and the remainder will vest in two equal installments on each subsequent anniversary of the date of grant, subject to the Non-Employee Director’s Continuous Service on each vesting date. </w:t>
      </w:r>
    </w:p>
    <w:p>
      <w:pPr>
        <w:pStyle w:val="TextBody"/>
        <w:bidi w:val="0"/>
        <w:spacing w:before="0" w:after="240"/>
        <w:ind w:left="1440" w:right="0" w:hanging="0"/>
        <w:jc w:val="both"/>
        <w:rPr>
          <w:smallCaps/>
          <w:shd w:fill="FFFFFF" w:val="clear"/>
        </w:rPr>
      </w:pPr>
      <w:r>
        <w:rPr>
          <w:smallCaps/>
          <w:shd w:fill="FFFFFF" w:val="clear"/>
        </w:rPr>
        <w:t>​</w:t>
      </w:r>
    </w:p>
    <w:p>
      <w:pPr>
        <w:pStyle w:val="TextBody"/>
        <w:bidi w:val="0"/>
        <w:spacing w:before="0" w:after="240"/>
        <w:ind w:left="0" w:right="0" w:hanging="0"/>
        <w:jc w:val="both"/>
        <w:rPr>
          <w:rFonts w:ascii="Times New Roman;Times;serif" w:hAnsi="Times New Roman;Times;serif"/>
          <w:sz w:val="22"/>
          <w:shd w:fill="FFFFFF" w:val="clear"/>
        </w:rPr>
      </w:pPr>
      <w:r>
        <w:rPr>
          <w:rFonts w:ascii="Times New Roman;Times;serif" w:hAnsi="Times New Roman;Times;serif"/>
          <w:b/>
          <w:sz w:val="22"/>
          <w:shd w:fill="FFFFFF" w:val="clear"/>
        </w:rPr>
        <w:t>2.</w:t>
      </w:r>
      <w:r>
        <w:rPr>
          <w:rFonts w:ascii="Times New Roman;Times;serif" w:hAnsi="Times New Roman;Times;serif"/>
          <w:b/>
          <w:smallCaps/>
          <w:sz w:val="22"/>
          <w:shd w:fill="FFFFFF" w:val="clear"/>
        </w:rPr>
        <w:t>Automatic Annual Grant and Prorated Annual Grant.</w:t>
      </w:r>
    </w:p>
    <w:p>
      <w:pPr>
        <w:pStyle w:val="TextBody"/>
        <w:bidi w:val="0"/>
        <w:spacing w:before="0" w:after="240"/>
        <w:ind w:left="0" w:right="0" w:hanging="0"/>
        <w:jc w:val="both"/>
        <w:rPr>
          <w:rFonts w:ascii="Times New Roman;Times;serif" w:hAnsi="Times New Roman;Times;serif"/>
          <w:sz w:val="22"/>
          <w:shd w:fill="FFFFFF" w:val="clear"/>
        </w:rPr>
      </w:pPr>
      <w:r>
        <w:rPr>
          <w:rFonts w:ascii="Times New Roman;Times;serif" w:hAnsi="Times New Roman;Times;serif"/>
          <w:b/>
          <w:sz w:val="24"/>
          <w:shd w:fill="FFFFFF" w:val="clear"/>
        </w:rPr>
        <w:t>(a)</w:t>
      </w:r>
      <w:r>
        <w:rPr>
          <w:rFonts w:ascii="Times New Roman;Times;serif" w:hAnsi="Times New Roman;Times;serif"/>
          <w:sz w:val="22"/>
          <w:shd w:fill="FFFFFF" w:val="clear"/>
        </w:rPr>
        <w:t>At the close of business after the first Annual Meeting following the Effective Date and on the date of each subsequent annual meeting of the Company’s stockholders held following the initial Annual Meeting (each, an “</w:t>
      </w:r>
      <w:r>
        <w:rPr>
          <w:rFonts w:ascii="Times New Roman;Times;serif" w:hAnsi="Times New Roman;Times;serif"/>
          <w:b/>
          <w:i/>
          <w:sz w:val="22"/>
          <w:shd w:fill="FFFFFF" w:val="clear"/>
        </w:rPr>
        <w:t>Annual Meeting”</w:t>
      </w:r>
      <w:r>
        <w:rPr>
          <w:rFonts w:ascii="Times New Roman;Times;serif" w:hAnsi="Times New Roman;Times;serif"/>
          <w:sz w:val="22"/>
          <w:shd w:fill="FFFFFF" w:val="clear"/>
        </w:rPr>
        <w:t>), each person who is then a Non-Employee Director will be automatically, and without further action by the Board or the Compensation Committee, granted an RSU Award covering a number of restricted stock units equal to (i) $20,000 divided by (ii) the average Fair Market Value of a share of Common Stock for the 30 consecutive market trading days ending on and including the last market trading day prior to the grant date of such RSU Award, rounded down to the nearest whole unit (each, an “</w:t>
      </w:r>
      <w:r>
        <w:rPr>
          <w:rFonts w:ascii="Times New Roman;Times;serif" w:hAnsi="Times New Roman;Times;serif"/>
          <w:b/>
          <w:i/>
          <w:sz w:val="22"/>
          <w:shd w:fill="FFFFFF" w:val="clear"/>
        </w:rPr>
        <w:t>Annual Grant”</w:t>
      </w:r>
      <w:r>
        <w:rPr>
          <w:rFonts w:ascii="Times New Roman;Times;serif" w:hAnsi="Times New Roman;Times;serif"/>
          <w:sz w:val="22"/>
          <w:shd w:fill="FFFFFF" w:val="clear"/>
        </w:rPr>
        <w:t>).</w:t>
      </w:r>
    </w:p>
    <w:p>
      <w:pPr>
        <w:pStyle w:val="TextBody"/>
        <w:bidi w:val="0"/>
        <w:spacing w:before="0" w:after="240"/>
        <w:ind w:left="0" w:right="0" w:hanging="0"/>
        <w:jc w:val="both"/>
        <w:rPr>
          <w:rFonts w:ascii="Times New Roman;Times;serif" w:hAnsi="Times New Roman;Times;serif"/>
          <w:sz w:val="22"/>
          <w:shd w:fill="FFFFFF" w:val="clear"/>
        </w:rPr>
      </w:pPr>
      <w:r>
        <w:rPr>
          <w:rFonts w:ascii="Times New Roman;Times;serif" w:hAnsi="Times New Roman;Times;serif"/>
          <w:b/>
          <w:sz w:val="24"/>
          <w:shd w:fill="FFFFFF" w:val="clear"/>
        </w:rPr>
        <w:t>(b)</w:t>
      </w:r>
      <w:r>
        <w:rPr>
          <w:rFonts w:ascii="Times New Roman;Times;serif" w:hAnsi="Times New Roman;Times;serif"/>
          <w:sz w:val="22"/>
          <w:shd w:fill="FFFFFF" w:val="clear"/>
        </w:rPr>
        <w:t>In addition, for each Non-Employee Director who is first elected or appointed to the Board after the first Annual Meeting of the Company’s stockholders following the Effective Date on a date other than the date of an Annual Meeting of the Company’s stockholders, at the close of business on the thirtieth (30</w:t>
      </w:r>
      <w:r>
        <w:rPr>
          <w:rFonts w:ascii="Times New Roman;Times;serif" w:hAnsi="Times New Roman;Times;serif"/>
          <w:sz w:val="17"/>
          <w:shd w:fill="FFFFFF" w:val="clear"/>
        </w:rPr>
        <w:t>th</w:t>
      </w:r>
      <w:r>
        <w:rPr>
          <w:rFonts w:ascii="Times New Roman;Times;serif" w:hAnsi="Times New Roman;Times;serif"/>
          <w:sz w:val="22"/>
          <w:shd w:fill="FFFFFF" w:val="clear"/>
        </w:rPr>
        <w:t>) day following such Non-Employee Director’s initial election or appointment to the Board, such Non-Employee Director will be automatically, and without further action by the Board or the Compensation Committee, granted an RSU Award</w:t>
      </w:r>
      <w:r>
        <w:rPr>
          <w:rFonts w:ascii="Times New Roman;Times;serif" w:hAnsi="Times New Roman;Times;serif"/>
          <w:smallCaps/>
          <w:sz w:val="22"/>
          <w:shd w:fill="FFFFFF" w:val="clear"/>
        </w:rPr>
        <w:t xml:space="preserve"> </w:t>
      </w:r>
      <w:r>
        <w:rPr>
          <w:rFonts w:ascii="Times New Roman;Times;serif" w:hAnsi="Times New Roman;Times;serif"/>
          <w:sz w:val="22"/>
          <w:shd w:fill="FFFFFF" w:val="clear"/>
        </w:rPr>
        <w:t>covering a number of restricted stock units equal to (i) $34,000 divided by (ii) the average Fair Market Value of a share of Common Stock for the 30 consecutive market trading days ending on and including the last market trading day prior to the grant date of such RSU Award, multiplied by a fraction, the numerator of which equals 365 minus the total number of days, as of the grant date of such RSU Award, that have occurred since the last Annual Meeting and the denominator of which equals 365, rounded down to the nearest whole unit (each, a “</w:t>
      </w:r>
      <w:r>
        <w:rPr>
          <w:rFonts w:ascii="Times New Roman;Times;serif" w:hAnsi="Times New Roman;Times;serif"/>
          <w:b/>
          <w:i/>
          <w:sz w:val="22"/>
          <w:shd w:fill="FFFFFF" w:val="clear"/>
        </w:rPr>
        <w:t>Prorated Annual Grant”</w:t>
      </w:r>
      <w:r>
        <w:rPr>
          <w:rFonts w:ascii="Times New Roman;Times;serif" w:hAnsi="Times New Roman;Times;serif"/>
          <w:sz w:val="22"/>
          <w:shd w:fill="FFFFFF" w:val="clear"/>
        </w:rPr>
        <w:t xml:space="preserve">). </w:t>
      </w:r>
    </w:p>
    <w:p>
      <w:pPr>
        <w:pStyle w:val="TextBody"/>
        <w:bidi w:val="0"/>
        <w:spacing w:before="0" w:after="240"/>
        <w:ind w:left="0" w:right="0" w:hanging="0"/>
        <w:jc w:val="both"/>
        <w:rPr>
          <w:rFonts w:ascii="Times New Roman;Times;serif" w:hAnsi="Times New Roman;Times;serif"/>
          <w:sz w:val="22"/>
          <w:shd w:fill="FFFFFF" w:val="clear"/>
        </w:rPr>
      </w:pPr>
      <w:r>
        <w:rPr>
          <w:rFonts w:ascii="Times New Roman;Times;serif" w:hAnsi="Times New Roman;Times;serif"/>
          <w:b/>
          <w:sz w:val="24"/>
          <w:shd w:fill="FFFFFF" w:val="clear"/>
        </w:rPr>
        <w:t>(c)</w:t>
      </w:r>
      <w:r>
        <w:rPr>
          <w:rFonts w:ascii="Times New Roman;Times;serif" w:hAnsi="Times New Roman;Times;serif"/>
          <w:sz w:val="22"/>
          <w:shd w:fill="FFFFFF" w:val="clear"/>
        </w:rPr>
        <w:t xml:space="preserve">Each Annual Grant and Prorated Annual Grant will vest in full on the earlier of (i) the one-year anniversary of the grant date of the Annual Grant or Prorated Annual Grant, as applicable, and (ii) the date immediately prior to the date of the Annual Meeting following the grant date of such Annual Grant or Prorated Annual Grant, as applicable, subject to the Non-Employee Director’s Continuous Service on the vesting date. </w:t>
      </w:r>
    </w:p>
    <w:p>
      <w:pPr>
        <w:pStyle w:val="TextBody"/>
        <w:bidi w:val="0"/>
        <w:spacing w:before="0" w:after="240"/>
        <w:ind w:left="0" w:right="0" w:hanging="0"/>
        <w:jc w:val="both"/>
        <w:rPr>
          <w:rFonts w:ascii="Times New Roman;Times;serif" w:hAnsi="Times New Roman;Times;serif"/>
          <w:sz w:val="22"/>
          <w:shd w:fill="FFFFFF" w:val="clear"/>
        </w:rPr>
      </w:pPr>
      <w:r>
        <w:rPr>
          <w:rFonts w:ascii="Times New Roman;Times;serif" w:hAnsi="Times New Roman;Times;serif"/>
          <w:b/>
          <w:sz w:val="22"/>
          <w:shd w:fill="FFFFFF" w:val="clear"/>
        </w:rPr>
        <w:t>3.</w:t>
      </w:r>
      <w:r>
        <w:rPr>
          <w:rFonts w:ascii="Times New Roman;Times;serif" w:hAnsi="Times New Roman;Times;serif"/>
          <w:b/>
          <w:smallCaps/>
          <w:sz w:val="22"/>
          <w:shd w:fill="FFFFFF" w:val="clear"/>
        </w:rPr>
        <w:t>Elections to Receive an RSU Award in Lieu of Annual Cash Retainers.</w:t>
      </w:r>
    </w:p>
    <w:p>
      <w:pPr>
        <w:pStyle w:val="TextBody"/>
        <w:bidi w:val="0"/>
        <w:spacing w:before="0" w:after="240"/>
        <w:ind w:left="0" w:right="0" w:hanging="0"/>
        <w:jc w:val="both"/>
        <w:rPr>
          <w:rFonts w:ascii="Times New Roman;Times;serif" w:hAnsi="Times New Roman;Times;serif"/>
          <w:sz w:val="22"/>
          <w:shd w:fill="FFFFFF" w:val="clear"/>
        </w:rPr>
      </w:pPr>
      <w:r>
        <w:rPr>
          <w:rFonts w:ascii="Times New Roman;Times;serif" w:hAnsi="Times New Roman;Times;serif"/>
          <w:b/>
          <w:sz w:val="24"/>
          <w:shd w:fill="FFFFFF" w:val="clear"/>
        </w:rPr>
        <w:t>(a)</w:t>
      </w:r>
      <w:r>
        <w:rPr>
          <w:rFonts w:ascii="Times New Roman;Times;serif" w:hAnsi="Times New Roman;Times;serif"/>
          <w:b/>
          <w:i/>
          <w:sz w:val="22"/>
          <w:shd w:fill="FFFFFF" w:val="clear"/>
        </w:rPr>
        <w:t>Retainer Grant</w:t>
      </w:r>
      <w:r>
        <w:rPr>
          <w:rFonts w:ascii="Times New Roman;Times;serif" w:hAnsi="Times New Roman;Times;serif"/>
          <w:b/>
          <w:sz w:val="22"/>
          <w:shd w:fill="FFFFFF" w:val="clear"/>
        </w:rPr>
        <w:t>.</w:t>
      </w:r>
      <w:r>
        <w:rPr>
          <w:rFonts w:ascii="Times New Roman;Times;serif" w:hAnsi="Times New Roman;Times;serif"/>
          <w:sz w:val="22"/>
          <w:shd w:fill="FFFFFF" w:val="clear"/>
        </w:rPr>
        <w:t xml:space="preserve"> For the fiscal year of the Company in which the Effective Date occurs and each fiscal year of the Company thereafter, each Non-Employee Director may elect (such election, a “</w:t>
      </w:r>
      <w:r>
        <w:rPr>
          <w:rFonts w:ascii="Times New Roman;Times;serif" w:hAnsi="Times New Roman;Times;serif"/>
          <w:b/>
          <w:i/>
          <w:sz w:val="22"/>
          <w:shd w:fill="FFFFFF" w:val="clear"/>
        </w:rPr>
        <w:t>Retainer Grant Election”</w:t>
      </w:r>
      <w:r>
        <w:rPr>
          <w:rFonts w:ascii="Times New Roman;Times;serif" w:hAnsi="Times New Roman;Times;serif"/>
          <w:sz w:val="22"/>
          <w:shd w:fill="FFFFFF" w:val="clear"/>
        </w:rPr>
        <w:t xml:space="preserve">) to forego receiving payment of all (but not less than </w:t>
      </w:r>
    </w:p>
    <w:p>
      <w:pPr>
        <w:pStyle w:val="TextBody"/>
        <w:bidi w:val="0"/>
        <w:spacing w:before="0" w:after="0"/>
        <w:ind w:left="0" w:right="0" w:hanging="0"/>
        <w:jc w:val="center"/>
        <w:rPr>
          <w:rFonts w:ascii="Times New Roman;Times;serif" w:hAnsi="Times New Roman;Times;serif"/>
          <w:sz w:val="22"/>
        </w:rPr>
      </w:pPr>
      <w:r>
        <w:rPr>
          <w:rFonts w:ascii="Times New Roman;Times;serif" w:hAnsi="Times New Roman;Times;serif"/>
          <w:sz w:val="22"/>
        </w:rPr>
        <w:t>2</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2"/>
          <w:shd w:fill="FFFFFF" w:val="clear"/>
        </w:rPr>
      </w:pPr>
      <w:r>
        <w:rPr>
          <w:rFonts w:ascii="Times New Roman;Times;serif" w:hAnsi="Times New Roman;Times;serif"/>
          <w:sz w:val="22"/>
          <w:shd w:fill="FFFFFF" w:val="clear"/>
        </w:rPr>
        <w:t xml:space="preserve">all) of the compensation such Non-Employee Director is otherwise eligible to receive in cash under </w:t>
      </w:r>
      <w:r>
        <w:rPr>
          <w:rFonts w:ascii="Times New Roman;Times;serif" w:hAnsi="Times New Roman;Times;serif"/>
          <w:sz w:val="22"/>
          <w:u w:val="single"/>
          <w:shd w:fill="FFFFFF" w:val="clear"/>
        </w:rPr>
        <w:t>Article I</w:t>
      </w:r>
      <w:r>
        <w:rPr>
          <w:rFonts w:ascii="Times New Roman;Times;serif" w:hAnsi="Times New Roman;Times;serif"/>
          <w:sz w:val="22"/>
          <w:shd w:fill="FFFFFF" w:val="clear"/>
        </w:rPr>
        <w:t xml:space="preserve"> of this Policy for the period during the fiscal year of the Company to which the Retainer Grant Election applies commencing on the Retainer Grant Measurement Date and ending on the last day of the fiscal year of the Company to which the Retainer Grant Election applies (each such period, a “</w:t>
      </w:r>
      <w:r>
        <w:rPr>
          <w:rFonts w:ascii="Times New Roman;Times;serif" w:hAnsi="Times New Roman;Times;serif"/>
          <w:b/>
          <w:i/>
          <w:sz w:val="22"/>
          <w:shd w:fill="FFFFFF" w:val="clear"/>
        </w:rPr>
        <w:t>Retainer Grant Measurement Period”</w:t>
      </w:r>
      <w:r>
        <w:rPr>
          <w:rFonts w:ascii="Times New Roman;Times;serif" w:hAnsi="Times New Roman;Times;serif"/>
          <w:sz w:val="22"/>
          <w:shd w:fill="FFFFFF" w:val="clear"/>
        </w:rPr>
        <w:t>) and receive an RSU Award instead (each, a “</w:t>
      </w:r>
      <w:r>
        <w:rPr>
          <w:rFonts w:ascii="Times New Roman;Times;serif" w:hAnsi="Times New Roman;Times;serif"/>
          <w:b/>
          <w:i/>
          <w:sz w:val="22"/>
          <w:shd w:fill="FFFFFF" w:val="clear"/>
        </w:rPr>
        <w:t>Retainer Grant”</w:t>
      </w:r>
      <w:r>
        <w:rPr>
          <w:rFonts w:ascii="Times New Roman;Times;serif" w:hAnsi="Times New Roman;Times;serif"/>
          <w:sz w:val="22"/>
          <w:shd w:fill="FFFFFF" w:val="clear"/>
        </w:rPr>
        <w:t xml:space="preserve">) but only if the Retainer Grant Election is timely made in accordance with the requirements of this </w:t>
      </w:r>
      <w:r>
        <w:rPr>
          <w:rFonts w:ascii="Times New Roman;Times;serif" w:hAnsi="Times New Roman;Times;serif"/>
          <w:sz w:val="22"/>
          <w:u w:val="single"/>
          <w:shd w:fill="FFFFFF" w:val="clear"/>
        </w:rPr>
        <w:t>Section 4</w:t>
      </w:r>
      <w:r>
        <w:rPr>
          <w:rFonts w:ascii="Times New Roman;Times;serif" w:hAnsi="Times New Roman;Times;serif"/>
          <w:sz w:val="22"/>
          <w:shd w:fill="FFFFFF" w:val="clear"/>
        </w:rPr>
        <w:t xml:space="preserve">. If a Non-Employee Director timely makes a Retainer Grant Election pursuant to </w:t>
      </w:r>
      <w:r>
        <w:rPr>
          <w:rFonts w:ascii="Times New Roman;Times;serif" w:hAnsi="Times New Roman;Times;serif"/>
          <w:sz w:val="22"/>
          <w:u w:val="single"/>
          <w:shd w:fill="FFFFFF" w:val="clear"/>
        </w:rPr>
        <w:t>Section 4(b)</w:t>
      </w:r>
      <w:r>
        <w:rPr>
          <w:rFonts w:ascii="Times New Roman;Times;serif" w:hAnsi="Times New Roman;Times;serif"/>
          <w:sz w:val="22"/>
          <w:shd w:fill="FFFFFF" w:val="clear"/>
        </w:rPr>
        <w:t xml:space="preserve"> below, on the Retainer Grant Measurement Date (as defined below), such Non-Employee Director will be automatically, and without any further action by the Board or the Compensation Committee, granted a Retainer Grant covering a number of restricted stock units equal to (i) the aggregate amount of cash compensation under </w:t>
      </w:r>
      <w:r>
        <w:rPr>
          <w:rFonts w:ascii="Times New Roman;Times;serif" w:hAnsi="Times New Roman;Times;serif"/>
          <w:sz w:val="22"/>
          <w:u w:val="single"/>
          <w:shd w:fill="FFFFFF" w:val="clear"/>
        </w:rPr>
        <w:t>Article I</w:t>
      </w:r>
      <w:r>
        <w:rPr>
          <w:rFonts w:ascii="Times New Roman;Times;serif" w:hAnsi="Times New Roman;Times;serif"/>
          <w:sz w:val="22"/>
          <w:shd w:fill="FFFFFF" w:val="clear"/>
        </w:rPr>
        <w:t xml:space="preserve"> of this Policy that such Non-Employee Director is eligible to receive for the applicable Retainer Grant Measurement Period divided by (ii) the average Fair Market Value of a share of Common Stock for the 30 consecutive market trading days ending on and including the last trading day prior to the grant date of such Retainer Grant, rounded down to the nearest whole unit.  For purposes of this Policy, “</w:t>
      </w:r>
      <w:r>
        <w:rPr>
          <w:rFonts w:ascii="Times New Roman;Times;serif" w:hAnsi="Times New Roman;Times;serif"/>
          <w:b/>
          <w:i/>
          <w:sz w:val="22"/>
          <w:shd w:fill="FFFFFF" w:val="clear"/>
        </w:rPr>
        <w:t>Retainer Grant Measurement Date”</w:t>
      </w:r>
      <w:r>
        <w:rPr>
          <w:rFonts w:ascii="Times New Roman;Times;serif" w:hAnsi="Times New Roman;Times;serif"/>
          <w:sz w:val="22"/>
          <w:shd w:fill="FFFFFF" w:val="clear"/>
        </w:rPr>
        <w:t xml:space="preserve"> means the first day of the fiscal year of the Company to which the Retainer Grant Election applies, provided that if the Retainer Grant Election is made in the same fiscal year of the Company to which it applies, then the Retainer Grant Measurement Date means the first day of the fiscal quarter of the Company following the fiscal quarter of the Company in which the Retainer Grant Election is made.  Each Retainer Grant will vest as to the Retainer Grant Vesting Percentage on each Quarterly Date following the grant date of the Retainer Grant, subject to such Non-Employee Director’s Continuous Service through each vesting date. The “</w:t>
      </w:r>
      <w:r>
        <w:rPr>
          <w:rFonts w:ascii="Times New Roman;Times;serif" w:hAnsi="Times New Roman;Times;serif"/>
          <w:b/>
          <w:i/>
          <w:sz w:val="22"/>
          <w:shd w:fill="FFFFFF" w:val="clear"/>
        </w:rPr>
        <w:t>Retainer Grant Vesting Percentage”</w:t>
      </w:r>
      <w:r>
        <w:rPr>
          <w:rFonts w:ascii="Times New Roman;Times;serif" w:hAnsi="Times New Roman;Times;serif"/>
          <w:sz w:val="22"/>
          <w:shd w:fill="FFFFFF" w:val="clear"/>
        </w:rPr>
        <w:t xml:space="preserve"> equals (y) 100% multiplied by (z) a fraction, the numerator of which equals one and the denominator of which equals the number of Quarterly Dates occurring during the period commencing on the grant date of the applicable Retainer Grant and ending on the last day of the fiscal year of the Company in which such Retainer Grant was granted. </w:t>
      </w:r>
    </w:p>
    <w:p>
      <w:pPr>
        <w:pStyle w:val="TextBody"/>
        <w:bidi w:val="0"/>
        <w:spacing w:before="0" w:after="240"/>
        <w:ind w:left="0" w:right="0" w:hanging="0"/>
        <w:jc w:val="both"/>
        <w:rPr>
          <w:rFonts w:ascii="Times New Roman;Times;serif" w:hAnsi="Times New Roman;Times;serif"/>
          <w:sz w:val="22"/>
          <w:shd w:fill="FFFFFF" w:val="clear"/>
        </w:rPr>
      </w:pPr>
      <w:r>
        <w:rPr>
          <w:rFonts w:ascii="Times New Roman;Times;serif" w:hAnsi="Times New Roman;Times;serif"/>
          <w:b/>
          <w:sz w:val="24"/>
          <w:shd w:fill="FFFFFF" w:val="clear"/>
        </w:rPr>
        <w:t>(b)</w:t>
      </w:r>
      <w:r>
        <w:rPr>
          <w:rFonts w:ascii="Times New Roman;Times;serif" w:hAnsi="Times New Roman;Times;serif"/>
          <w:b/>
          <w:i/>
          <w:sz w:val="22"/>
          <w:shd w:fill="FFFFFF" w:val="clear"/>
        </w:rPr>
        <w:t xml:space="preserve">Election Mechanics. </w:t>
      </w:r>
      <w:r>
        <w:rPr>
          <w:rFonts w:ascii="Times New Roman;Times;serif" w:hAnsi="Times New Roman;Times;serif"/>
          <w:sz w:val="22"/>
          <w:shd w:fill="FFFFFF" w:val="clear"/>
        </w:rPr>
        <w:t xml:space="preserve">For any Retainer Grant Election to be effective, it must be submitted to the Chief Financial Officer of the Company with a copy to the Company’s counsel (or such other individual(s) as the Company designates) (i) on or prior to the last day of the calendar year immediately preceding the first calendar year in which the Retention Grant Election will be effective, or (ii) within 30 days after the Non-Employee Director first becomes eligible to participate in this Policy. A Non-Employee Director may only make a Retainer Grant Election during a period in which the Company is not in a quarterly or special blackout period and the Non-Employee Director is not aware of any material non-public information. In addition, a Non-Employee Director may not make a Retainer Grant Election that applies to the fiscal year in which he or she first becomes eligible to participate in this Policy after the third Quarterly Date in such fiscal year.  Any Retainer Grant Election will be irrevocable, and will be subject to such rules, conditions and procedures as shall be determined by the Board or the Compensation Committee, in its sole discretion, which rules, conditions and procedures shall at all times comply with the requirements of Code Section 409A. Retainer Grant Elections shall be made pursuant to a form of election in substantially the form attached hereto as </w:t>
      </w:r>
      <w:r>
        <w:rPr>
          <w:rFonts w:ascii="Times New Roman;Times;serif" w:hAnsi="Times New Roman;Times;serif"/>
          <w:smallCaps/>
          <w:sz w:val="22"/>
          <w:u w:val="single"/>
          <w:shd w:fill="FFFFFF" w:val="clear"/>
        </w:rPr>
        <w:t>Exhibit A</w:t>
      </w:r>
      <w:r>
        <w:rPr>
          <w:rFonts w:ascii="Times New Roman;Times;serif" w:hAnsi="Times New Roman;Times;serif"/>
          <w:sz w:val="22"/>
          <w:shd w:fill="FFFFFF" w:val="clear"/>
        </w:rPr>
        <w:t xml:space="preserve"> or such other form as approved by the Board or the Compensation Committee.  A Non-Employee Director who fails to make a timely Retainer Grant Election will not receive a Retainer Grant and instead will receive the cash compensation under </w:t>
      </w:r>
      <w:r>
        <w:rPr>
          <w:rFonts w:ascii="Times New Roman;Times;serif" w:hAnsi="Times New Roman;Times;serif"/>
          <w:sz w:val="22"/>
          <w:u w:val="single"/>
          <w:shd w:fill="FFFFFF" w:val="clear"/>
        </w:rPr>
        <w:t>Article I</w:t>
      </w:r>
      <w:r>
        <w:rPr>
          <w:rFonts w:ascii="Times New Roman;Times;serif" w:hAnsi="Times New Roman;Times;serif"/>
          <w:sz w:val="22"/>
          <w:shd w:fill="FFFFFF" w:val="clear"/>
        </w:rPr>
        <w:t xml:space="preserve"> of this Policy. </w:t>
      </w:r>
    </w:p>
    <w:p>
      <w:pPr>
        <w:pStyle w:val="TextBody"/>
        <w:bidi w:val="0"/>
        <w:spacing w:before="0" w:after="240"/>
        <w:ind w:left="0" w:right="0" w:hanging="0"/>
        <w:jc w:val="both"/>
        <w:rPr>
          <w:rFonts w:ascii="Times New Roman;Times;serif" w:hAnsi="Times New Roman;Times;serif"/>
          <w:sz w:val="22"/>
          <w:shd w:fill="FFFFFF" w:val="clear"/>
        </w:rPr>
      </w:pPr>
      <w:r>
        <w:rPr>
          <w:rFonts w:ascii="Times New Roman;Times;serif" w:hAnsi="Times New Roman;Times;serif"/>
          <w:b/>
          <w:sz w:val="24"/>
          <w:shd w:fill="FFFFFF" w:val="clear"/>
        </w:rPr>
        <w:t>III.</w:t>
      </w:r>
      <w:r>
        <w:rPr>
          <w:rFonts w:ascii="Times New Roman;Times;serif" w:hAnsi="Times New Roman;Times;serif"/>
          <w:b/>
          <w:caps/>
          <w:sz w:val="22"/>
          <w:shd w:fill="FFFFFF" w:val="clear"/>
        </w:rPr>
        <w:t>Non-Employee Director Compensation Limit.  </w:t>
      </w:r>
      <w:r>
        <w:rPr>
          <w:rFonts w:ascii="Times New Roman;Times;serif" w:hAnsi="Times New Roman;Times;serif"/>
          <w:sz w:val="22"/>
          <w:shd w:fill="FFFFFF" w:val="clear"/>
        </w:rPr>
        <w:t xml:space="preserve">Notwithstanding anything herein to the contrary, the cash compensation and equity compensation that each Non-Employee Director is entitled to receive under this Policy shall be subject to the limits set forth in Section 3(d) of the Plan. </w:t>
      </w:r>
    </w:p>
    <w:p>
      <w:pPr>
        <w:pStyle w:val="TextBody"/>
        <w:bidi w:val="0"/>
        <w:spacing w:before="0" w:after="240"/>
        <w:ind w:left="0" w:right="0" w:hanging="0"/>
        <w:jc w:val="both"/>
        <w:rPr>
          <w:rFonts w:ascii="Times New Roman;Times;serif" w:hAnsi="Times New Roman;Times;serif"/>
          <w:sz w:val="22"/>
          <w:shd w:fill="FFFFFF" w:val="clear"/>
        </w:rPr>
      </w:pPr>
      <w:r>
        <w:rPr>
          <w:rFonts w:ascii="Times New Roman;Times;serif" w:hAnsi="Times New Roman;Times;serif"/>
          <w:b/>
          <w:sz w:val="24"/>
          <w:shd w:fill="FFFFFF" w:val="clear"/>
        </w:rPr>
        <w:t>IV.</w:t>
      </w:r>
      <w:r>
        <w:rPr>
          <w:rFonts w:ascii="Times New Roman;Times;serif" w:hAnsi="Times New Roman;Times;serif"/>
          <w:b/>
          <w:caps/>
          <w:sz w:val="22"/>
          <w:shd w:fill="FFFFFF" w:val="clear"/>
        </w:rPr>
        <w:t>Change in Control; Death; Disability.  </w:t>
      </w:r>
      <w:r>
        <w:rPr>
          <w:rFonts w:ascii="Times New Roman;Times;serif" w:hAnsi="Times New Roman;Times;serif"/>
          <w:sz w:val="22"/>
          <w:shd w:fill="FFFFFF" w:val="clear"/>
        </w:rPr>
        <w:t xml:space="preserve">Each RSU Award held by a Non-Employee Director that is granted under this Policy will vest in full upon such Non-Employee Director’s </w:t>
      </w:r>
    </w:p>
    <w:p>
      <w:pPr>
        <w:pStyle w:val="TextBody"/>
        <w:bidi w:val="0"/>
        <w:spacing w:before="0" w:after="0"/>
        <w:ind w:left="0" w:right="0" w:hanging="0"/>
        <w:jc w:val="center"/>
        <w:rPr>
          <w:rFonts w:ascii="Times New Roman;Times;serif" w:hAnsi="Times New Roman;Times;serif"/>
          <w:sz w:val="22"/>
        </w:rPr>
      </w:pPr>
      <w:r>
        <w:rPr>
          <w:rFonts w:ascii="Times New Roman;Times;serif" w:hAnsi="Times New Roman;Times;serif"/>
          <w:sz w:val="22"/>
        </w:rPr>
        <w:t>3</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2"/>
          <w:shd w:fill="FFFFFF" w:val="clear"/>
        </w:rPr>
      </w:pPr>
      <w:r>
        <w:rPr>
          <w:rFonts w:ascii="Times New Roman;Times;serif" w:hAnsi="Times New Roman;Times;serif"/>
          <w:sz w:val="22"/>
          <w:shd w:fill="FFFFFF" w:val="clear"/>
        </w:rPr>
        <w:t xml:space="preserve">death or Disability, or immediately prior to the consummation of a Change in Control, in each case, to extent such RSU Award is outstanding as of immediately prior to the occurrence of such event. </w:t>
      </w:r>
    </w:p>
    <w:p>
      <w:pPr>
        <w:pStyle w:val="TextBody"/>
        <w:bidi w:val="0"/>
        <w:spacing w:before="0" w:after="240"/>
        <w:ind w:left="0" w:right="0" w:hanging="0"/>
        <w:jc w:val="both"/>
        <w:rPr>
          <w:rFonts w:ascii="Times New Roman;Times;serif" w:hAnsi="Times New Roman;Times;serif"/>
          <w:sz w:val="22"/>
          <w:shd w:fill="FFFFFF" w:val="clear"/>
        </w:rPr>
      </w:pPr>
      <w:r>
        <w:rPr>
          <w:rFonts w:ascii="Times New Roman;Times;serif" w:hAnsi="Times New Roman;Times;serif"/>
          <w:b/>
          <w:sz w:val="24"/>
          <w:shd w:fill="FFFFFF" w:val="clear"/>
        </w:rPr>
        <w:t>V.</w:t>
      </w:r>
      <w:r>
        <w:rPr>
          <w:rFonts w:ascii="Times New Roman;Times;serif" w:hAnsi="Times New Roman;Times;serif"/>
          <w:b/>
          <w:caps/>
          <w:sz w:val="22"/>
          <w:shd w:fill="FFFFFF" w:val="clear"/>
        </w:rPr>
        <w:t>Deferral of RSU Awards.  </w:t>
      </w:r>
      <w:r>
        <w:rPr>
          <w:rFonts w:ascii="Times New Roman;Times;serif" w:hAnsi="Times New Roman;Times;serif"/>
          <w:sz w:val="22"/>
          <w:shd w:fill="FFFFFF" w:val="clear"/>
        </w:rPr>
        <w:t>Each Non-Employee Director may elect to defer the delivery of shares in settlement of any RSU Award granted pursuant to this Policy that would otherwise be delivered to such Non-Employee Director on or following the date such RSU Award vests pursuant to the terms of this Policy (the “</w:t>
      </w:r>
      <w:r>
        <w:rPr>
          <w:rFonts w:ascii="Times New Roman;Times;serif" w:hAnsi="Times New Roman;Times;serif"/>
          <w:b/>
          <w:i/>
          <w:sz w:val="22"/>
          <w:shd w:fill="FFFFFF" w:val="clear"/>
        </w:rPr>
        <w:t>Deferral Election”</w:t>
      </w:r>
      <w:r>
        <w:rPr>
          <w:rFonts w:ascii="Times New Roman;Times;serif" w:hAnsi="Times New Roman;Times;serif"/>
          <w:sz w:val="22"/>
          <w:shd w:fill="FFFFFF" w:val="clear"/>
        </w:rPr>
        <w:t xml:space="preserve">). For any such Deferral Election to be effective, it must be submitted to the Chief Financial Officer of the Company with a copy to the Company’s counsel (or such other individual(s) as the Company designates) (1) for 2024, within 30 days following the Effective Date, (2) on or prior to the last day of the calendar year immediately prior to the calendar year in which the RSU Award to which the Deferral Election relates is granted or (3) within 30 days of such Non-Employee Director’s initial election or appointment to the Board.  Any Deferral Election will be irrevocable, and will be subject to such rules, conditions and procedures as shall be determined by the Board or the Compensation Committee, in its sole discretion, which rules, conditions and procedures shall at all times comply with the requirements of Section 409A, unless otherwise specifically determined by the Board or the Compensation Committee. Deferral Elections shall be made pursuant to a form of deferral election in substantially the form attached hereto as </w:t>
      </w:r>
      <w:r>
        <w:rPr>
          <w:rFonts w:ascii="Times New Roman;Times;serif" w:hAnsi="Times New Roman;Times;serif"/>
          <w:smallCaps/>
          <w:sz w:val="22"/>
          <w:u w:val="single"/>
          <w:shd w:fill="FFFFFF" w:val="clear"/>
        </w:rPr>
        <w:t>Exhibit A</w:t>
      </w:r>
      <w:r>
        <w:rPr>
          <w:rFonts w:ascii="Times New Roman;Times;serif" w:hAnsi="Times New Roman;Times;serif"/>
          <w:sz w:val="22"/>
          <w:shd w:fill="FFFFFF" w:val="clear"/>
        </w:rPr>
        <w:t xml:space="preserve"> or such other form as approved by the Board or the Compensation Committee. </w:t>
      </w:r>
    </w:p>
    <w:p>
      <w:pPr>
        <w:pStyle w:val="TextBody"/>
        <w:bidi w:val="0"/>
        <w:ind w:left="0" w:right="0" w:hanging="0"/>
        <w:jc w:val="both"/>
        <w:rPr>
          <w:rFonts w:ascii="Times New Roman;Times;serif" w:hAnsi="Times New Roman;Times;serif"/>
          <w:sz w:val="22"/>
          <w:shd w:fill="FFFFFF" w:val="clear"/>
        </w:rPr>
      </w:pPr>
      <w:r>
        <w:rPr>
          <w:rFonts w:ascii="Times New Roman;Times;serif" w:hAnsi="Times New Roman;Times;serif"/>
          <w:b/>
          <w:sz w:val="24"/>
          <w:shd w:fill="FFFFFF" w:val="clear"/>
        </w:rPr>
        <w:t>VI.</w:t>
      </w:r>
      <w:r>
        <w:rPr>
          <w:rFonts w:ascii="Times New Roman;Times;serif" w:hAnsi="Times New Roman;Times;serif"/>
          <w:b/>
          <w:sz w:val="22"/>
          <w:shd w:fill="FFFFFF" w:val="clear"/>
        </w:rPr>
        <w:t xml:space="preserve">EXPENSES. </w:t>
      </w:r>
      <w:r>
        <w:rPr>
          <w:rFonts w:ascii="Times New Roman;Times;serif" w:hAnsi="Times New Roman;Times;serif"/>
          <w:sz w:val="22"/>
          <w:shd w:fill="FFFFFF" w:val="clear"/>
        </w:rPr>
        <w:t xml:space="preserve">The Company will reimburse Non-Employee Directors for ordinary, necessary and reasonable out-of-pocket travel expenses to cover in-person attendance at and participation in Board and committee meetings; </w:t>
      </w:r>
      <w:r>
        <w:rPr>
          <w:rFonts w:ascii="Times New Roman;Times;serif" w:hAnsi="Times New Roman;Times;serif"/>
          <w:i/>
          <w:sz w:val="22"/>
          <w:shd w:fill="FFFFFF" w:val="clear"/>
        </w:rPr>
        <w:t>provided</w:t>
      </w:r>
      <w:r>
        <w:rPr>
          <w:rFonts w:ascii="Times New Roman;Times;serif" w:hAnsi="Times New Roman;Times;serif"/>
          <w:sz w:val="22"/>
          <w:shd w:fill="FFFFFF" w:val="clear"/>
        </w:rPr>
        <w:t xml:space="preserve">, that the Non-Employee Director timely submits to the Company appropriate documentation substantiating such expenses in accordance with the Company’s travel and expense policy, as in effect from time to time. </w:t>
      </w:r>
    </w:p>
    <w:p>
      <w:pPr>
        <w:pStyle w:val="TextBody"/>
        <w:bidi w:val="0"/>
        <w:spacing w:before="0" w:after="240"/>
        <w:ind w:left="0" w:right="0" w:hanging="0"/>
        <w:jc w:val="both"/>
        <w:rPr>
          <w:rFonts w:ascii="Times New Roman;Times;serif" w:hAnsi="Times New Roman;Times;serif"/>
          <w:b/>
          <w:sz w:val="22"/>
          <w:shd w:fill="FFFFFF" w:val="clear"/>
        </w:rPr>
      </w:pPr>
      <w:r>
        <w:rPr>
          <w:rFonts w:ascii="Times New Roman;Times;serif" w:hAnsi="Times New Roman;Times;serif"/>
          <w:b/>
          <w:sz w:val="22"/>
          <w:shd w:fill="FFFFFF" w:val="clear"/>
        </w:rPr>
        <w:t>Approved by the Board of Directors: May 7, 2024; November 29, 2024; June 8, 2026</w:t>
      </w:r>
    </w:p>
    <w:p>
      <w:pPr>
        <w:pStyle w:val="TextBody"/>
        <w:bidi w:val="0"/>
        <w:spacing w:before="0" w:after="240"/>
        <w:ind w:left="0" w:right="0" w:hanging="0"/>
        <w:jc w:val="left"/>
        <w:rPr>
          <w:shd w:fill="FFFFFF" w:val="clear"/>
        </w:rPr>
      </w:pPr>
      <w:r>
        <w:rPr>
          <w:shd w:fill="FFFFFF" w:val="clear"/>
        </w:rPr>
        <w:t>​</w:t>
      </w:r>
    </w:p>
    <w:p>
      <w:pPr>
        <w:pStyle w:val="TextBody"/>
        <w:bidi w:val="0"/>
        <w:spacing w:before="0" w:after="0"/>
        <w:ind w:left="0" w:right="0" w:hanging="0"/>
        <w:jc w:val="center"/>
        <w:rPr>
          <w:rFonts w:ascii="Times New Roman;Times;serif" w:hAnsi="Times New Roman;Times;serif"/>
          <w:sz w:val="22"/>
        </w:rPr>
      </w:pPr>
      <w:r>
        <w:rPr>
          <w:rFonts w:ascii="Times New Roman;Times;serif" w:hAnsi="Times New Roman;Times;serif"/>
          <w:sz w:val="22"/>
        </w:rPr>
        <w:t>4</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22"/>
          <w:shd w:fill="FFFFFF" w:val="clear"/>
        </w:rPr>
      </w:pPr>
      <w:r>
        <w:rPr>
          <w:rFonts w:ascii="Times New Roman;Times;serif" w:hAnsi="Times New Roman;Times;serif"/>
          <w:b/>
          <w:smallCaps/>
          <w:sz w:val="22"/>
          <w:shd w:fill="FFFFFF" w:val="clear"/>
        </w:rPr>
        <w:t>Exhibit A</w:t>
      </w:r>
      <w:r>
        <w:rPr>
          <w:rFonts w:ascii="Times New Roman;Times;serif" w:hAnsi="Times New Roman;Times;serif"/>
          <w:b/>
          <w:sz w:val="22"/>
          <w:shd w:fill="FFFFFF" w:val="clear"/>
        </w:rPr>
        <w:t xml:space="preserve"> </w:t>
        <w:br/>
        <w:br/>
      </w:r>
      <w:r>
        <w:rPr>
          <w:rFonts w:ascii="Times New Roman;Times;serif" w:hAnsi="Times New Roman;Times;serif"/>
          <w:b/>
          <w:smallCaps/>
          <w:sz w:val="22"/>
          <w:shd w:fill="FFFFFF" w:val="clear"/>
        </w:rPr>
        <w:t xml:space="preserve">METAVIA INC. </w:t>
      </w:r>
      <w:r>
        <w:rPr>
          <w:rFonts w:ascii="Times New Roman;Times;serif" w:hAnsi="Times New Roman;Times;serif"/>
          <w:b/>
          <w:sz w:val="22"/>
          <w:shd w:fill="FFFFFF" w:val="clear"/>
        </w:rPr>
        <w:br/>
        <w:br/>
        <w:t xml:space="preserve">AMENDED AND RESTATED </w:t>
      </w:r>
    </w:p>
    <w:p>
      <w:pPr>
        <w:pStyle w:val="TextBody"/>
        <w:bidi w:val="0"/>
        <w:spacing w:before="0" w:after="240"/>
        <w:ind w:left="0" w:right="0" w:hanging="0"/>
        <w:jc w:val="center"/>
        <w:rPr>
          <w:rFonts w:ascii="Times New Roman;Times;serif" w:hAnsi="Times New Roman;Times;serif"/>
          <w:b/>
          <w:sz w:val="22"/>
          <w:shd w:fill="FFFFFF" w:val="clear"/>
        </w:rPr>
      </w:pPr>
      <w:r>
        <w:rPr>
          <w:rFonts w:ascii="Times New Roman;Times;serif" w:hAnsi="Times New Roman;Times;serif"/>
          <w:b/>
          <w:sz w:val="22"/>
          <w:shd w:fill="FFFFFF" w:val="clear"/>
        </w:rPr>
        <w:t>NON-EMPLOYEE DIRECTOR COMPENSATION POLICY</w:t>
      </w:r>
    </w:p>
    <w:p>
      <w:pPr>
        <w:pStyle w:val="TextBody"/>
        <w:bidi w:val="0"/>
        <w:spacing w:before="0" w:after="0"/>
        <w:ind w:left="0" w:right="0" w:hanging="0"/>
        <w:jc w:val="center"/>
        <w:rPr>
          <w:rFonts w:ascii="Times New Roman;Times;serif" w:hAnsi="Times New Roman;Times;serif"/>
          <w:b/>
          <w:i/>
          <w:sz w:val="22"/>
          <w:shd w:fill="FFFFFF" w:val="clear"/>
        </w:rPr>
      </w:pPr>
      <w:r>
        <w:rPr>
          <w:rFonts w:ascii="Times New Roman;Times;serif" w:hAnsi="Times New Roman;Times;serif"/>
          <w:b/>
          <w:i/>
          <w:sz w:val="22"/>
          <w:shd w:fill="FFFFFF" w:val="clear"/>
        </w:rPr>
        <w:t>Restricted Stock Unit Deferral and Retainer Grant Election Form</w:t>
      </w:r>
    </w:p>
    <w:p>
      <w:pPr>
        <w:pStyle w:val="TextBody"/>
        <w:bidi w:val="0"/>
        <w:spacing w:before="0" w:after="0"/>
        <w:ind w:left="0" w:right="0" w:hanging="0"/>
        <w:jc w:val="center"/>
        <w:rPr>
          <w:rFonts w:ascii="Times New Roman;Times;serif" w:hAnsi="Times New Roman;Times;serif"/>
          <w:b/>
          <w:i/>
          <w:sz w:val="22"/>
          <w:shd w:fill="FFFFFF" w:val="clear"/>
        </w:rPr>
      </w:pPr>
      <w:r>
        <w:rPr>
          <w:rFonts w:ascii="Times New Roman;Times;serif" w:hAnsi="Times New Roman;Times;serif"/>
          <w:b/>
          <w:i/>
          <w:sz w:val="22"/>
          <w:shd w:fill="FFFFFF" w:val="clear"/>
        </w:rPr>
        <w:t xml:space="preserve">For Non-Employee Directors </w:t>
      </w:r>
    </w:p>
    <w:p>
      <w:pPr>
        <w:pStyle w:val="TextBody"/>
        <w:bidi w:val="0"/>
        <w:spacing w:before="0" w:after="0"/>
        <w:ind w:left="0" w:right="0" w:hanging="0"/>
        <w:jc w:val="center"/>
        <w:rPr>
          <w:shd w:fill="FFFFFF" w:val="clear"/>
        </w:rPr>
      </w:pPr>
      <w:r>
        <w:rPr>
          <w:shd w:fill="FFFFFF" w:val="clear"/>
        </w:rPr>
        <w:t>​</w:t>
      </w:r>
    </w:p>
    <w:p>
      <w:pPr>
        <w:pStyle w:val="TextBody"/>
        <w:bidi w:val="0"/>
        <w:spacing w:before="0" w:after="240"/>
        <w:ind w:left="0" w:right="0" w:firstLine="720"/>
        <w:jc w:val="both"/>
        <w:rPr>
          <w:rFonts w:ascii="Times New Roman;Times;serif" w:hAnsi="Times New Roman;Times;serif"/>
          <w:sz w:val="22"/>
          <w:shd w:fill="FFFFFF" w:val="clear"/>
        </w:rPr>
      </w:pPr>
      <w:r>
        <w:rPr>
          <w:rFonts w:ascii="Times New Roman;Times;serif" w:hAnsi="Times New Roman;Times;serif"/>
          <w:sz w:val="22"/>
          <w:shd w:fill="FFFFFF" w:val="clear"/>
        </w:rPr>
        <w:t>Please complete and return this Restricted Stock Unit Deferral and Retainer Grant Election Form (the “</w:t>
      </w:r>
      <w:r>
        <w:rPr>
          <w:rFonts w:ascii="Times New Roman;Times;serif" w:hAnsi="Times New Roman;Times;serif"/>
          <w:b/>
          <w:i/>
          <w:sz w:val="22"/>
          <w:shd w:fill="FFFFFF" w:val="clear"/>
        </w:rPr>
        <w:t>Election Form”</w:t>
      </w:r>
      <w:r>
        <w:rPr>
          <w:rFonts w:ascii="Times New Roman;Times;serif" w:hAnsi="Times New Roman;Times;serif"/>
          <w:sz w:val="22"/>
          <w:shd w:fill="FFFFFF" w:val="clear"/>
        </w:rPr>
        <w:t xml:space="preserve">), as described below, </w:t>
      </w:r>
      <w:r>
        <w:rPr>
          <w:rFonts w:ascii="Times New Roman;Times;serif" w:hAnsi="Times New Roman;Times;serif"/>
          <w:b/>
          <w:sz w:val="22"/>
          <w:shd w:fill="FFFFFF" w:val="clear"/>
        </w:rPr>
        <w:t>[for existing non-employee directors making elections for 2025 or any year thereafter:</w:t>
      </w:r>
      <w:r>
        <w:rPr>
          <w:rFonts w:ascii="Times New Roman;Times;serif" w:hAnsi="Times New Roman;Times;serif"/>
          <w:sz w:val="22"/>
          <w:shd w:fill="FFFFFF" w:val="clear"/>
        </w:rPr>
        <w:t xml:space="preserve"> on or before December 31 of each year</w:t>
      </w:r>
      <w:r>
        <w:rPr>
          <w:rFonts w:ascii="Times New Roman;Times;serif" w:hAnsi="Times New Roman;Times;serif"/>
          <w:b/>
          <w:sz w:val="22"/>
          <w:shd w:fill="FFFFFF" w:val="clear"/>
        </w:rPr>
        <w:t xml:space="preserve">] [for new non-employee directors: </w:t>
      </w:r>
      <w:r>
        <w:rPr>
          <w:rFonts w:ascii="Times New Roman;Times;serif" w:hAnsi="Times New Roman;Times;serif"/>
          <w:sz w:val="22"/>
          <w:shd w:fill="FFFFFF" w:val="clear"/>
        </w:rPr>
        <w:t>within 30 days following the date you join the Board</w:t>
      </w:r>
      <w:r>
        <w:rPr>
          <w:rFonts w:ascii="Times New Roman;Times;serif" w:hAnsi="Times New Roman;Times;serif"/>
          <w:b/>
          <w:sz w:val="22"/>
          <w:shd w:fill="FFFFFF" w:val="clear"/>
        </w:rPr>
        <w:t xml:space="preserve">] </w:t>
      </w:r>
      <w:r>
        <w:rPr>
          <w:rFonts w:ascii="Times New Roman;Times;serif" w:hAnsi="Times New Roman;Times;serif"/>
          <w:sz w:val="22"/>
          <w:shd w:fill="FFFFFF" w:val="clear"/>
        </w:rPr>
        <w:t>(the “</w:t>
      </w:r>
      <w:r>
        <w:rPr>
          <w:rFonts w:ascii="Times New Roman;Times;serif" w:hAnsi="Times New Roman;Times;serif"/>
          <w:b/>
          <w:i/>
          <w:sz w:val="22"/>
          <w:shd w:fill="FFFFFF" w:val="clear"/>
        </w:rPr>
        <w:t>Submission Deadline”</w:t>
      </w:r>
      <w:r>
        <w:rPr>
          <w:rFonts w:ascii="Times New Roman;Times;serif" w:hAnsi="Times New Roman;Times;serif"/>
          <w:sz w:val="22"/>
          <w:shd w:fill="FFFFFF" w:val="clear"/>
        </w:rPr>
        <w:t>), to the Chief Financial Officer of the Company, with a copy to the Company’s counsel, MetaVia Inc., 545 Concord Avenue, Suite 210, Cambridge, Massachusetts 02138.</w:t>
      </w:r>
    </w:p>
    <w:p>
      <w:pPr>
        <w:pStyle w:val="TextBody"/>
        <w:bidi w:val="0"/>
        <w:spacing w:before="0" w:after="0"/>
        <w:ind w:left="0" w:right="0" w:firstLine="720"/>
        <w:jc w:val="both"/>
        <w:rPr>
          <w:rFonts w:ascii="Times New Roman;Times;serif" w:hAnsi="Times New Roman;Times;serif"/>
          <w:sz w:val="22"/>
          <w:shd w:fill="FFFFFF" w:val="clear"/>
        </w:rPr>
      </w:pPr>
      <w:r>
        <w:rPr>
          <w:rFonts w:ascii="Times New Roman;Times;serif" w:hAnsi="Times New Roman;Times;serif"/>
          <w:sz w:val="22"/>
          <w:shd w:fill="FFFFFF" w:val="clear"/>
        </w:rPr>
        <w:t>Neither the provision of this Election Form nor your completion of this Election Form represents a commitment by the Company to grant an Award to you. The grant of an Award remains subject to the terms of the Company’s Amended and Restated Non-Employee Director Compensation Policy as may be hereinafter amended (the “</w:t>
      </w:r>
      <w:r>
        <w:rPr>
          <w:rFonts w:ascii="Times New Roman;Times;serif" w:hAnsi="Times New Roman;Times;serif"/>
          <w:b/>
          <w:i/>
          <w:sz w:val="22"/>
          <w:shd w:fill="FFFFFF" w:val="clear"/>
        </w:rPr>
        <w:t>Policy”</w:t>
      </w:r>
      <w:r>
        <w:rPr>
          <w:rFonts w:ascii="Times New Roman;Times;serif" w:hAnsi="Times New Roman;Times;serif"/>
          <w:sz w:val="22"/>
          <w:shd w:fill="FFFFFF" w:val="clear"/>
        </w:rPr>
        <w:t xml:space="preserve">). Terms not otherwise defined herein shall have the meaning set forth in the Policy or the Plan, as applicable. </w:t>
      </w:r>
    </w:p>
    <w:p>
      <w:pPr>
        <w:pStyle w:val="TextBody"/>
        <w:bidi w:val="0"/>
        <w:spacing w:before="0" w:after="240"/>
        <w:ind w:left="0" w:right="0" w:hanging="0"/>
        <w:jc w:val="both"/>
        <w:rPr>
          <w:shd w:fill="FFFFFF" w:val="clear"/>
        </w:rPr>
      </w:pPr>
      <w:r>
        <w:rPr>
          <w:shd w:fill="FFFFFF" w:val="clear"/>
        </w:rPr>
        <w:t>​</w:t>
      </w:r>
    </w:p>
    <w:p>
      <w:pPr>
        <w:pStyle w:val="TextBody"/>
        <w:bidi w:val="0"/>
        <w:spacing w:before="0" w:after="0"/>
        <w:ind w:left="0" w:right="0" w:hanging="0"/>
        <w:jc w:val="both"/>
        <w:rPr>
          <w:rFonts w:ascii="Times New Roman;Times;serif" w:hAnsi="Times New Roman;Times;serif"/>
          <w:b/>
          <w:sz w:val="22"/>
          <w:shd w:fill="FFFFFF" w:val="clear"/>
        </w:rPr>
      </w:pPr>
      <w:r>
        <w:rPr>
          <w:rFonts w:ascii="Times New Roman;Times;serif" w:hAnsi="Times New Roman;Times;serif"/>
          <w:b/>
          <w:sz w:val="22"/>
          <w:shd w:fill="FFFFFF" w:val="clear"/>
        </w:rPr>
        <w:t xml:space="preserve">I understand that my Election Form will become irrevocable effective as of the Submission Deadline. </w:t>
      </w:r>
    </w:p>
    <w:p>
      <w:pPr>
        <w:pStyle w:val="TextBody"/>
        <w:bidi w:val="0"/>
        <w:spacing w:before="0" w:after="240"/>
        <w:ind w:left="0" w:right="0" w:firstLine="720"/>
        <w:jc w:val="left"/>
        <w:rPr>
          <w:shd w:fill="FFFFFF" w:val="clear"/>
        </w:rPr>
      </w:pPr>
      <w:r>
        <w:rPr>
          <w:shd w:fill="FFFFFF" w:val="clear"/>
        </w:rPr>
        <w:t>​</w:t>
      </w:r>
    </w:p>
    <w:p>
      <w:pPr>
        <w:pStyle w:val="TextBody"/>
        <w:bidi w:val="0"/>
        <w:spacing w:before="0" w:after="240"/>
        <w:ind w:left="0" w:right="0" w:hanging="0"/>
        <w:jc w:val="left"/>
        <w:rPr>
          <w:rFonts w:ascii="Times New Roman;Times;serif" w:hAnsi="Times New Roman;Times;serif"/>
          <w:b/>
          <w:sz w:val="22"/>
          <w:shd w:fill="FFFFFF" w:val="clear"/>
        </w:rPr>
      </w:pPr>
      <w:r>
        <w:rPr>
          <w:rFonts w:ascii="Times New Roman;Times;serif" w:hAnsi="Times New Roman;Times;serif"/>
          <w:b/>
          <w:sz w:val="22"/>
          <w:shd w:fill="FFFFFF" w:val="clear"/>
        </w:rPr>
        <w:t>1.</w:t>
      </w:r>
      <w:r>
        <w:rPr>
          <w:rFonts w:ascii="Times New Roman;Times;serif" w:hAnsi="Times New Roman;Times;serif"/>
          <w:b/>
          <w:smallCaps/>
          <w:sz w:val="22"/>
          <w:shd w:fill="FFFFFF" w:val="clear"/>
        </w:rPr>
        <w:t>Personal Information:</w:t>
      </w:r>
    </w:p>
    <w:p>
      <w:pPr>
        <w:pStyle w:val="TextBody"/>
        <w:bidi w:val="0"/>
        <w:spacing w:before="0" w:after="0"/>
        <w:ind w:left="0" w:right="0" w:hanging="0"/>
        <w:jc w:val="both"/>
        <w:rPr>
          <w:rFonts w:ascii="Times New Roman;Times;serif" w:hAnsi="Times New Roman;Times;serif"/>
          <w:sz w:val="22"/>
          <w:shd w:fill="FFFFFF" w:val="clear"/>
        </w:rPr>
      </w:pPr>
      <w:r>
        <w:rPr>
          <w:rFonts w:ascii="Times New Roman;Times;serif" w:hAnsi="Times New Roman;Times;serif"/>
          <w:sz w:val="22"/>
          <w:shd w:fill="FFFFFF" w:val="clear"/>
        </w:rPr>
        <w:t>(</w:t>
      </w:r>
      <w:r>
        <w:rPr>
          <w:rFonts w:ascii="Times New Roman;Times;serif" w:hAnsi="Times New Roman;Times;serif"/>
          <w:b/>
          <w:i/>
          <w:sz w:val="22"/>
          <w:shd w:fill="FFFFFF" w:val="clear"/>
        </w:rPr>
        <w:t>Please print</w:t>
      </w:r>
      <w:r>
        <w:rPr>
          <w:rFonts w:ascii="Times New Roman;Times;serif" w:hAnsi="Times New Roman;Times;serif"/>
          <w:sz w:val="22"/>
          <w:shd w:fill="FFFFFF" w:val="clear"/>
        </w:rPr>
        <w:t xml:space="preserve">) </w:t>
      </w:r>
      <w:r>
        <w:rPr>
          <w:rFonts w:ascii="Times New Roman;Times;serif" w:hAnsi="Times New Roman;Times;serif"/>
          <w:sz w:val="22"/>
          <w:u w:val="single"/>
          <w:shd w:fill="FFFFFF" w:val="clear"/>
        </w:rPr>
        <w:t>​ ​​ ​​ ​​ ​​ ​​ ​</w:t>
      </w:r>
    </w:p>
    <w:p>
      <w:pPr>
        <w:pStyle w:val="TextBody"/>
        <w:bidi w:val="0"/>
        <w:spacing w:before="0" w:after="0"/>
        <w:ind w:left="0" w:right="0" w:hanging="0"/>
        <w:jc w:val="both"/>
        <w:rPr>
          <w:rFonts w:ascii="Times New Roman;Times;serif" w:hAnsi="Times New Roman;Times;serif"/>
          <w:sz w:val="22"/>
          <w:shd w:fill="FFFFFF" w:val="clear"/>
        </w:rPr>
      </w:pPr>
      <w:r>
        <w:rPr>
          <w:rFonts w:ascii="Times New Roman;Times;serif" w:hAnsi="Times New Roman;Times;serif"/>
          <w:sz w:val="22"/>
          <w:shd w:fill="FFFFFF" w:val="clear"/>
        </w:rPr>
        <w:t>Participant Name: (the “</w:t>
      </w:r>
      <w:r>
        <w:rPr>
          <w:rFonts w:ascii="Times New Roman;Times;serif" w:hAnsi="Times New Roman;Times;serif"/>
          <w:b/>
          <w:i/>
          <w:sz w:val="22"/>
          <w:shd w:fill="FFFFFF" w:val="clear"/>
        </w:rPr>
        <w:t>Participant”</w:t>
      </w:r>
      <w:r>
        <w:rPr>
          <w:rFonts w:ascii="Times New Roman;Times;serif" w:hAnsi="Times New Roman;Times;serif"/>
          <w:sz w:val="22"/>
          <w:shd w:fill="FFFFFF" w:val="clear"/>
        </w:rPr>
        <w:t xml:space="preserve">) </w:t>
      </w:r>
    </w:p>
    <w:p>
      <w:pPr>
        <w:pStyle w:val="TextBody"/>
        <w:bidi w:val="0"/>
        <w:spacing w:before="0" w:after="240"/>
        <w:ind w:left="720" w:right="0" w:hanging="0"/>
        <w:jc w:val="left"/>
        <w:rPr>
          <w:smallCaps/>
          <w:shd w:fill="FFFFFF" w:val="clear"/>
        </w:rPr>
      </w:pPr>
      <w:r>
        <w:rPr>
          <w:smallCaps/>
          <w:shd w:fill="FFFFFF" w:val="clear"/>
        </w:rPr>
        <w:t>​</w:t>
      </w:r>
    </w:p>
    <w:p>
      <w:pPr>
        <w:pStyle w:val="TextBody"/>
        <w:bidi w:val="0"/>
        <w:spacing w:before="0" w:after="240"/>
        <w:ind w:left="0" w:right="0" w:hanging="0"/>
        <w:jc w:val="both"/>
        <w:rPr/>
      </w:pPr>
      <w:r>
        <w:rPr>
          <w:rFonts w:ascii="Times New Roman;Times;serif" w:hAnsi="Times New Roman;Times;serif"/>
          <w:b/>
          <w:sz w:val="22"/>
          <w:shd w:fill="FFFFFF" w:val="clear"/>
        </w:rPr>
        <w:t>2.</w:t>
      </w:r>
      <w:r>
        <w:rPr>
          <w:rFonts w:ascii="Times New Roman;Times;serif" w:hAnsi="Times New Roman;Times;serif"/>
          <w:b/>
          <w:smallCaps/>
          <w:sz w:val="22"/>
          <w:shd w:fill="FFFFFF" w:val="clear"/>
        </w:rPr>
        <w:t>Retainer Grant Election:  </w:t>
      </w:r>
      <w:r>
        <w:rPr>
          <w:rFonts w:ascii="Times New Roman;Times;serif" w:hAnsi="Times New Roman;Times;serif"/>
          <w:b w:val="false"/>
          <w:sz w:val="22"/>
          <w:shd w:fill="FFFFFF" w:val="clear"/>
        </w:rPr>
        <w:t xml:space="preserve">By signing below, I elect to forego receiving payment of all (but not less than all) of the compensation I am otherwise eligible to receive in cash under </w:t>
      </w:r>
      <w:r>
        <w:rPr>
          <w:rFonts w:ascii="Times New Roman;Times;serif" w:hAnsi="Times New Roman;Times;serif"/>
          <w:b w:val="false"/>
          <w:sz w:val="22"/>
          <w:u w:val="single"/>
          <w:shd w:fill="FFFFFF" w:val="clear"/>
        </w:rPr>
        <w:t>Article I</w:t>
      </w:r>
      <w:r>
        <w:rPr>
          <w:rFonts w:ascii="Times New Roman;Times;serif" w:hAnsi="Times New Roman;Times;serif"/>
          <w:b/>
          <w:sz w:val="22"/>
          <w:shd w:fill="FFFFFF" w:val="clear"/>
        </w:rPr>
        <w:t xml:space="preserve"> </w:t>
      </w:r>
      <w:r>
        <w:rPr>
          <w:rFonts w:ascii="Times New Roman;Times;serif" w:hAnsi="Times New Roman;Times;serif"/>
          <w:b w:val="false"/>
          <w:sz w:val="22"/>
          <w:shd w:fill="FFFFFF" w:val="clear"/>
        </w:rPr>
        <w:t>of the Policy for the period during the fiscal year of the Company ended [</w:t>
      </w:r>
      <w:r>
        <w:rPr>
          <w:rFonts w:ascii="Times New Roman;Times;serif" w:hAnsi="Times New Roman;Times;serif"/>
          <w:b/>
          <w:sz w:val="22"/>
          <w:u w:val="single"/>
          <w:shd w:fill="FFFFFF" w:val="clear"/>
        </w:rPr>
        <w:t>​ ​​ ​​ ​</w:t>
      </w:r>
      <w:r>
        <w:rPr>
          <w:rFonts w:ascii="Times New Roman;Times;serif" w:hAnsi="Times New Roman;Times;serif"/>
          <w:b w:val="false"/>
          <w:sz w:val="22"/>
          <w:shd w:fill="FFFFFF" w:val="clear"/>
        </w:rPr>
        <w:t>] commencing on [</w:t>
      </w:r>
      <w:r>
        <w:rPr>
          <w:rFonts w:ascii="Times New Roman;Times;serif" w:hAnsi="Times New Roman;Times;serif"/>
          <w:b/>
          <w:sz w:val="22"/>
          <w:u w:val="single"/>
          <w:shd w:fill="FFFFFF" w:val="clear"/>
        </w:rPr>
        <w:t>​ ​​ ​​ ​</w:t>
      </w:r>
      <w:r>
        <w:rPr>
          <w:rFonts w:ascii="Times New Roman;Times;serif" w:hAnsi="Times New Roman;Times;serif"/>
          <w:b w:val="false"/>
          <w:sz w:val="22"/>
          <w:shd w:fill="FFFFFF" w:val="clear"/>
        </w:rPr>
        <w:t>]</w:t>
      </w:r>
      <w:hyperlink w:anchor="footnote-2">
        <w:r>
          <w:rPr>
            <w:rStyle w:val="InternetLink"/>
            <w:rFonts w:ascii="Times New Roman;Times;serif" w:hAnsi="Times New Roman;Times;serif"/>
            <w:b/>
            <w:sz w:val="22"/>
            <w:shd w:fill="FFFFFF" w:val="clear"/>
          </w:rPr>
          <w:t>1</w:t>
        </w:r>
      </w:hyperlink>
      <w:r>
        <w:rPr>
          <w:rFonts w:ascii="Times New Roman;Times;serif" w:hAnsi="Times New Roman;Times;serif"/>
          <w:b/>
          <w:sz w:val="22"/>
          <w:shd w:fill="FFFFFF" w:val="clear"/>
        </w:rPr>
        <w:t xml:space="preserve"> </w:t>
      </w:r>
      <w:r>
        <w:rPr>
          <w:rFonts w:ascii="Times New Roman;Times;serif" w:hAnsi="Times New Roman;Times;serif"/>
          <w:b w:val="false"/>
          <w:sz w:val="22"/>
          <w:shd w:fill="FFFFFF" w:val="clear"/>
        </w:rPr>
        <w:t>and ending on [</w:t>
      </w:r>
      <w:r>
        <w:rPr>
          <w:rFonts w:ascii="Times New Roman;Times;serif" w:hAnsi="Times New Roman;Times;serif"/>
          <w:b/>
          <w:sz w:val="22"/>
          <w:u w:val="single"/>
          <w:shd w:fill="FFFFFF" w:val="clear"/>
        </w:rPr>
        <w:t>​ ​​ ​​ ​</w:t>
      </w:r>
      <w:r>
        <w:rPr>
          <w:rFonts w:ascii="Times New Roman;Times;serif" w:hAnsi="Times New Roman;Times;serif"/>
          <w:b w:val="false"/>
          <w:sz w:val="22"/>
          <w:shd w:fill="FFFFFF" w:val="clear"/>
        </w:rPr>
        <w:t>],</w:t>
      </w:r>
      <w:hyperlink w:anchor="footnote-3">
        <w:r>
          <w:rPr>
            <w:rStyle w:val="InternetLink"/>
            <w:rFonts w:ascii="Times New Roman;Times;serif" w:hAnsi="Times New Roman;Times;serif"/>
            <w:b/>
            <w:sz w:val="22"/>
            <w:shd w:fill="FFFFFF" w:val="clear"/>
          </w:rPr>
          <w:t>2</w:t>
        </w:r>
      </w:hyperlink>
      <w:r>
        <w:rPr>
          <w:rFonts w:ascii="Times New Roman;Times;serif" w:hAnsi="Times New Roman;Times;serif"/>
          <w:b/>
          <w:sz w:val="22"/>
          <w:shd w:fill="FFFFFF" w:val="clear"/>
        </w:rPr>
        <w:t xml:space="preserve"> </w:t>
      </w:r>
      <w:r>
        <w:rPr>
          <w:rFonts w:ascii="Times New Roman;Times;serif" w:hAnsi="Times New Roman;Times;serif"/>
          <w:b w:val="false"/>
          <w:sz w:val="22"/>
          <w:shd w:fill="FFFFFF" w:val="clear"/>
        </w:rPr>
        <w:t xml:space="preserve">and to receive a Retainer Grant in lieu thereof. If I do not timely submit a properly completed Election Form, I will not receive the applicable Retainer Grant and will instead receive the applicable cash compensation under </w:t>
      </w:r>
      <w:r>
        <w:rPr>
          <w:rFonts w:ascii="Times New Roman;Times;serif" w:hAnsi="Times New Roman;Times;serif"/>
          <w:b w:val="false"/>
          <w:sz w:val="22"/>
          <w:u w:val="single"/>
          <w:shd w:fill="FFFFFF" w:val="clear"/>
        </w:rPr>
        <w:t>Article I</w:t>
      </w:r>
      <w:r>
        <w:rPr>
          <w:rFonts w:ascii="Times New Roman;Times;serif" w:hAnsi="Times New Roman;Times;serif"/>
          <w:b/>
          <w:sz w:val="22"/>
          <w:shd w:fill="FFFFFF" w:val="clear"/>
        </w:rPr>
        <w:t xml:space="preserve"> </w:t>
      </w:r>
      <w:r>
        <w:rPr>
          <w:rFonts w:ascii="Times New Roman;Times;serif" w:hAnsi="Times New Roman;Times;serif"/>
          <w:b w:val="false"/>
          <w:sz w:val="22"/>
          <w:shd w:fill="FFFFFF" w:val="clear"/>
        </w:rPr>
        <w:t xml:space="preserve">of the Policy. </w:t>
      </w:r>
    </w:p>
    <w:p>
      <w:pPr>
        <w:pStyle w:val="TextBody"/>
        <w:bidi w:val="0"/>
        <w:spacing w:before="0" w:after="240"/>
        <w:ind w:left="0" w:right="0" w:hanging="0"/>
        <w:jc w:val="both"/>
        <w:rPr>
          <w:rFonts w:ascii="Times New Roman;Times;serif" w:hAnsi="Times New Roman;Times;serif"/>
          <w:b/>
          <w:sz w:val="22"/>
          <w:shd w:fill="FFFFFF" w:val="clear"/>
        </w:rPr>
      </w:pPr>
      <w:r>
        <w:rPr>
          <w:rFonts w:ascii="Times New Roman;Times;serif" w:hAnsi="Times New Roman;Times;serif"/>
          <w:b/>
          <w:sz w:val="22"/>
          <w:shd w:fill="FFFFFF" w:val="clear"/>
        </w:rPr>
        <w:t>3.</w:t>
      </w:r>
      <w:r>
        <w:rPr>
          <w:rFonts w:ascii="Times New Roman;Times;serif" w:hAnsi="Times New Roman;Times;serif"/>
          <w:b/>
          <w:smallCaps/>
          <w:sz w:val="22"/>
          <w:shd w:fill="FFFFFF" w:val="clear"/>
        </w:rPr>
        <w:t>RSU Award and Deferral Election:</w:t>
      </w:r>
      <w:r>
        <w:rPr>
          <w:rFonts w:ascii="Times New Roman;Times;serif" w:hAnsi="Times New Roman;Times;serif"/>
          <w:b/>
          <w:sz w:val="22"/>
          <w:shd w:fill="FFFFFF" w:val="clear"/>
        </w:rPr>
        <w:t xml:space="preserve"> </w:t>
      </w:r>
    </w:p>
    <w:p>
      <w:pPr>
        <w:pStyle w:val="TextBody"/>
        <w:bidi w:val="0"/>
        <w:ind w:left="0" w:right="0" w:hanging="0"/>
        <w:jc w:val="both"/>
        <w:rPr/>
      </w:pPr>
      <w:r>
        <w:rPr>
          <w:rFonts w:ascii="Times New Roman;Times;serif" w:hAnsi="Times New Roman;Times;serif"/>
          <w:b/>
          <w:sz w:val="22"/>
          <w:shd w:fill="FFFFFF" w:val="clear"/>
        </w:rPr>
        <w:t>(a)</w:t>
      </w:r>
      <w:r>
        <w:rPr>
          <w:rFonts w:ascii="Times New Roman;Times;serif" w:hAnsi="Times New Roman;Times;serif"/>
          <w:sz w:val="22"/>
          <w:shd w:fill="FFFFFF" w:val="clear"/>
        </w:rPr>
        <w:t xml:space="preserve">By signing below, I elect to defer in accordance with this </w:t>
      </w:r>
      <w:r>
        <w:rPr>
          <w:rFonts w:ascii="Times New Roman;Times;serif" w:hAnsi="Times New Roman;Times;serif"/>
          <w:sz w:val="22"/>
          <w:u w:val="single"/>
          <w:shd w:fill="FFFFFF" w:val="clear"/>
        </w:rPr>
        <w:t>Section 3</w:t>
      </w:r>
      <w:r>
        <w:rPr>
          <w:rFonts w:ascii="Times New Roman;Times;serif" w:hAnsi="Times New Roman;Times;serif"/>
          <w:sz w:val="22"/>
          <w:shd w:fill="FFFFFF" w:val="clear"/>
        </w:rPr>
        <w:t xml:space="preserve"> 100% of my [</w:t>
      </w:r>
      <w:r>
        <w:rPr>
          <w:rFonts w:ascii="Times New Roman;Times;serif" w:hAnsi="Times New Roman;Times;serif"/>
          <w:sz w:val="22"/>
          <w:u w:val="single"/>
          <w:shd w:fill="FFFFFF" w:val="clear"/>
        </w:rPr>
        <w:t>​ ​​ ​​ ​</w:t>
      </w:r>
      <w:r>
        <w:rPr>
          <w:rFonts w:ascii="Times New Roman;Times;serif" w:hAnsi="Times New Roman;Times;serif"/>
          <w:sz w:val="22"/>
          <w:shd w:fill="FFFFFF" w:val="clear"/>
        </w:rPr>
        <w:t>]</w:t>
      </w:r>
      <w:hyperlink w:anchor="footnote-4">
        <w:r>
          <w:rPr>
            <w:rStyle w:val="InternetLink"/>
            <w:rFonts w:ascii="Times New Roman;Times;serif" w:hAnsi="Times New Roman;Times;serif"/>
            <w:sz w:val="22"/>
            <w:shd w:fill="FFFFFF" w:val="clear"/>
          </w:rPr>
          <w:t>3</w:t>
        </w:r>
      </w:hyperlink>
      <w:r>
        <w:rPr>
          <w:rFonts w:ascii="Times New Roman;Times;serif" w:hAnsi="Times New Roman;Times;serif"/>
          <w:sz w:val="22"/>
          <w:shd w:fill="FFFFFF" w:val="clear"/>
        </w:rPr>
        <w:t xml:space="preserve"> that may be granted to me, if any, under the Plan and pursuant to the Policy in the calendar year following the calendar year in which I tender this election (or if I first became eligible to participate in the Policy in the calendar year in which I tender this election, in the calendar year in which I </w:t>
      </w:r>
    </w:p>
    <w:p>
      <w:pPr>
        <w:pStyle w:val="TextBody"/>
        <w:bidi w:val="0"/>
        <w:spacing w:before="120" w:after="0"/>
        <w:ind w:left="0" w:right="0" w:firstLine="720"/>
        <w:jc w:val="left"/>
        <w:rPr>
          <w:rFonts w:ascii="Times New Roman;Times;serif" w:hAnsi="Times New Roman;Times;serif"/>
          <w:sz w:val="18"/>
          <w:shd w:fill="FFFFFF" w:val="clear"/>
        </w:rPr>
      </w:pPr>
      <w:bookmarkStart w:id="833" w:name="footnote-2"/>
      <w:bookmarkEnd w:id="833"/>
      <w:r>
        <w:rPr>
          <w:rFonts w:ascii="Times New Roman;Times;serif" w:hAnsi="Times New Roman;Times;serif"/>
          <w:sz w:val="18"/>
          <w:shd w:fill="FFFFFF" w:val="clear"/>
        </w:rPr>
        <w:t xml:space="preserve">1 </w:t>
      </w:r>
      <w:r>
        <w:rPr>
          <w:rFonts w:ascii="Times New Roman;Times;serif" w:hAnsi="Times New Roman;Times;serif"/>
          <w:sz w:val="20"/>
          <w:shd w:fill="FFFFFF" w:val="clear"/>
        </w:rPr>
        <w:t>Applicate Retainer Grant Measurement Date</w:t>
      </w:r>
    </w:p>
    <w:p>
      <w:pPr>
        <w:pStyle w:val="TextBody"/>
        <w:bidi w:val="0"/>
        <w:spacing w:before="120" w:after="0"/>
        <w:ind w:left="0" w:right="0" w:firstLine="720"/>
        <w:jc w:val="left"/>
        <w:rPr>
          <w:rFonts w:ascii="Times New Roman;Times;serif" w:hAnsi="Times New Roman;Times;serif"/>
          <w:sz w:val="18"/>
          <w:shd w:fill="FFFFFF" w:val="clear"/>
        </w:rPr>
      </w:pPr>
      <w:bookmarkStart w:id="834" w:name="footnote-3"/>
      <w:bookmarkEnd w:id="834"/>
      <w:r>
        <w:rPr>
          <w:rFonts w:ascii="Times New Roman;Times;serif" w:hAnsi="Times New Roman;Times;serif"/>
          <w:sz w:val="18"/>
          <w:shd w:fill="FFFFFF" w:val="clear"/>
        </w:rPr>
        <w:t xml:space="preserve">2 </w:t>
      </w:r>
      <w:r>
        <w:rPr>
          <w:rFonts w:ascii="Times New Roman;Times;serif" w:hAnsi="Times New Roman;Times;serif"/>
          <w:sz w:val="20"/>
          <w:shd w:fill="FFFFFF" w:val="clear"/>
        </w:rPr>
        <w:t>Last day of the fiscal year of the Company to which the Retainer Gant Election applies</w:t>
      </w:r>
    </w:p>
    <w:p>
      <w:pPr>
        <w:pStyle w:val="TextBody"/>
        <w:bidi w:val="0"/>
        <w:spacing w:before="120" w:after="0"/>
        <w:ind w:left="0" w:right="0" w:firstLine="720"/>
        <w:jc w:val="left"/>
        <w:rPr>
          <w:rFonts w:ascii="Times New Roman;Times;serif" w:hAnsi="Times New Roman;Times;serif"/>
          <w:sz w:val="18"/>
          <w:shd w:fill="FFFFFF" w:val="clear"/>
        </w:rPr>
      </w:pPr>
      <w:bookmarkStart w:id="835" w:name="footnote-4"/>
      <w:bookmarkEnd w:id="835"/>
      <w:r>
        <w:rPr>
          <w:rFonts w:ascii="Times New Roman;Times;serif" w:hAnsi="Times New Roman;Times;serif"/>
          <w:sz w:val="18"/>
          <w:shd w:fill="FFFFFF" w:val="clear"/>
        </w:rPr>
        <w:t xml:space="preserve">3 </w:t>
      </w:r>
      <w:r>
        <w:rPr>
          <w:rFonts w:ascii="Times New Roman;Times;serif" w:hAnsi="Times New Roman;Times;serif"/>
          <w:sz w:val="20"/>
          <w:shd w:fill="FFFFFF" w:val="clear"/>
        </w:rPr>
        <w:t>Awards with respect to which the Non-Employee Director is making a deferral election to be included.</w:t>
      </w:r>
    </w:p>
    <w:p>
      <w:pPr>
        <w:pStyle w:val="TextBody"/>
        <w:bidi w:val="0"/>
        <w:spacing w:before="0" w:after="0"/>
        <w:ind w:left="0" w:right="0" w:hanging="0"/>
        <w:jc w:val="center"/>
        <w:rPr>
          <w:rFonts w:ascii="Times New Roman;Times;serif" w:hAnsi="Times New Roman;Times;serif"/>
          <w:smallCaps/>
          <w:sz w:val="22"/>
        </w:rPr>
      </w:pPr>
      <w:r>
        <w:rPr>
          <w:rFonts w:ascii="Times New Roman;Times;serif" w:hAnsi="Times New Roman;Times;serif"/>
          <w:smallCaps/>
          <w:sz w:val="22"/>
        </w:rPr>
        <w:t>Exhibit A-1</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ind w:left="0" w:right="0" w:hanging="0"/>
        <w:jc w:val="both"/>
        <w:rPr/>
      </w:pPr>
      <w:r>
        <w:rPr>
          <w:rFonts w:ascii="Times New Roman;Times;serif" w:hAnsi="Times New Roman;Times;serif"/>
          <w:sz w:val="22"/>
          <w:shd w:fill="FFFFFF" w:val="clear"/>
        </w:rPr>
        <w:t>tender this election). If I do not timely submit a properly completed Election Form, then my [</w:t>
      </w:r>
      <w:r>
        <w:rPr>
          <w:rFonts w:ascii="Times New Roman;Times;serif" w:hAnsi="Times New Roman;Times;serif"/>
          <w:sz w:val="22"/>
          <w:u w:val="single"/>
          <w:shd w:fill="FFFFFF" w:val="clear"/>
        </w:rPr>
        <w:t>​ ​​ ​​ ​</w:t>
      </w:r>
      <w:r>
        <w:rPr>
          <w:rFonts w:ascii="Times New Roman;Times;serif" w:hAnsi="Times New Roman;Times;serif"/>
          <w:sz w:val="22"/>
          <w:shd w:fill="FFFFFF" w:val="clear"/>
        </w:rPr>
        <w:t>]</w:t>
      </w:r>
      <w:hyperlink w:anchor="footnote-5">
        <w:r>
          <w:rPr>
            <w:rStyle w:val="InternetLink"/>
            <w:rFonts w:ascii="Times New Roman;Times;serif" w:hAnsi="Times New Roman;Times;serif"/>
            <w:sz w:val="22"/>
            <w:shd w:fill="FFFFFF" w:val="clear"/>
          </w:rPr>
          <w:t>4</w:t>
        </w:r>
      </w:hyperlink>
      <w:r>
        <w:rPr>
          <w:rFonts w:ascii="Times New Roman;Times;serif" w:hAnsi="Times New Roman;Times;serif"/>
          <w:sz w:val="22"/>
          <w:shd w:fill="FFFFFF" w:val="clear"/>
        </w:rPr>
        <w:t xml:space="preserve"> will vest and settle in accordance with the terms of the Policy, the Plan, and the applicable RSU Award Agreement. </w:t>
      </w:r>
    </w:p>
    <w:p>
      <w:pPr>
        <w:pStyle w:val="TextBody"/>
        <w:bidi w:val="0"/>
        <w:spacing w:before="0" w:after="240"/>
        <w:ind w:left="1440" w:right="0" w:hanging="0"/>
        <w:jc w:val="both"/>
        <w:rPr>
          <w:smallCaps/>
          <w:shd w:fill="FFFFFF" w:val="clear"/>
        </w:rPr>
      </w:pPr>
      <w:r>
        <w:rPr>
          <w:smallCaps/>
          <w:shd w:fill="FFFFFF" w:val="clear"/>
        </w:rPr>
        <w:t>​</w:t>
      </w:r>
    </w:p>
    <w:p>
      <w:pPr>
        <w:pStyle w:val="TextBody"/>
        <w:bidi w:val="0"/>
        <w:ind w:left="0" w:right="0" w:hanging="0"/>
        <w:jc w:val="both"/>
        <w:rPr>
          <w:rFonts w:ascii="Times New Roman;Times;serif" w:hAnsi="Times New Roman;Times;serif"/>
          <w:sz w:val="22"/>
          <w:shd w:fill="FFFFFF" w:val="clear"/>
        </w:rPr>
      </w:pPr>
      <w:r>
        <w:rPr>
          <w:rFonts w:ascii="Times New Roman;Times;serif" w:hAnsi="Times New Roman;Times;serif"/>
          <w:b/>
          <w:sz w:val="22"/>
          <w:shd w:fill="FFFFFF" w:val="clear"/>
        </w:rPr>
        <w:t>(b)</w:t>
      </w:r>
      <w:r>
        <w:rPr>
          <w:rFonts w:ascii="Times New Roman;Times;serif" w:hAnsi="Times New Roman;Times;serif"/>
          <w:sz w:val="22"/>
          <w:shd w:fill="FFFFFF" w:val="clear"/>
        </w:rPr>
        <w:t xml:space="preserve">All Awards that are deferred pursuant to this </w:t>
      </w:r>
      <w:r>
        <w:rPr>
          <w:rFonts w:ascii="Times New Roman;Times;serif" w:hAnsi="Times New Roman;Times;serif"/>
          <w:sz w:val="22"/>
          <w:u w:val="single"/>
          <w:shd w:fill="FFFFFF" w:val="clear"/>
        </w:rPr>
        <w:t>Section 3</w:t>
      </w:r>
      <w:r>
        <w:rPr>
          <w:rFonts w:ascii="Times New Roman;Times;serif" w:hAnsi="Times New Roman;Times;serif"/>
          <w:sz w:val="22"/>
          <w:shd w:fill="FFFFFF" w:val="clear"/>
        </w:rPr>
        <w:t xml:space="preserve"> are referred to as “</w:t>
      </w:r>
      <w:r>
        <w:rPr>
          <w:rFonts w:ascii="Times New Roman;Times;serif" w:hAnsi="Times New Roman;Times;serif"/>
          <w:b/>
          <w:i/>
          <w:sz w:val="22"/>
          <w:shd w:fill="FFFFFF" w:val="clear"/>
        </w:rPr>
        <w:t>Deferred Awards”</w:t>
      </w:r>
      <w:r>
        <w:rPr>
          <w:rFonts w:ascii="Times New Roman;Times;serif" w:hAnsi="Times New Roman;Times;serif"/>
          <w:sz w:val="22"/>
          <w:shd w:fill="FFFFFF" w:val="clear"/>
        </w:rPr>
        <w:t xml:space="preserve"> in this Election Form. </w:t>
      </w:r>
    </w:p>
    <w:p>
      <w:pPr>
        <w:pStyle w:val="TextBody"/>
        <w:bidi w:val="0"/>
        <w:spacing w:before="0" w:after="240"/>
        <w:ind w:left="1440" w:right="0" w:hanging="0"/>
        <w:jc w:val="both"/>
        <w:rPr>
          <w:smallCaps/>
          <w:shd w:fill="FFFFFF" w:val="clear"/>
        </w:rPr>
      </w:pPr>
      <w:r>
        <w:rPr>
          <w:smallCaps/>
          <w:shd w:fill="FFFFFF" w:val="clear"/>
        </w:rPr>
        <w:t>​</w:t>
      </w:r>
    </w:p>
    <w:p>
      <w:pPr>
        <w:pStyle w:val="TextBody"/>
        <w:bidi w:val="0"/>
        <w:spacing w:before="0" w:after="240"/>
        <w:ind w:left="0" w:right="0" w:hanging="0"/>
        <w:jc w:val="both"/>
        <w:rPr>
          <w:rFonts w:ascii="Times New Roman;Times;serif" w:hAnsi="Times New Roman;Times;serif"/>
          <w:sz w:val="22"/>
          <w:shd w:fill="FFFFFF" w:val="clear"/>
        </w:rPr>
      </w:pPr>
      <w:r>
        <w:rPr>
          <w:rFonts w:ascii="Times New Roman;Times;serif" w:hAnsi="Times New Roman;Times;serif"/>
          <w:b/>
          <w:sz w:val="22"/>
          <w:shd w:fill="FFFFFF" w:val="clear"/>
        </w:rPr>
        <w:t>(c)</w:t>
      </w:r>
      <w:r>
        <w:rPr>
          <w:rFonts w:ascii="Times New Roman;Times;serif" w:hAnsi="Times New Roman;Times;serif"/>
          <w:sz w:val="22"/>
          <w:shd w:fill="FFFFFF" w:val="clear"/>
        </w:rPr>
        <w:t xml:space="preserve">By signing below, I elect to have my Deferred Awards settled as follows: </w:t>
      </w:r>
    </w:p>
    <w:p>
      <w:pPr>
        <w:pStyle w:val="TextBody"/>
        <w:bidi w:val="0"/>
        <w:spacing w:before="0" w:after="240"/>
        <w:ind w:left="0" w:right="0" w:hanging="0"/>
        <w:jc w:val="both"/>
        <w:rPr>
          <w:rFonts w:ascii="Times New Roman;Times;serif" w:hAnsi="Times New Roman;Times;serif"/>
          <w:sz w:val="22"/>
          <w:shd w:fill="FFFFFF" w:val="clear"/>
        </w:rPr>
      </w:pPr>
      <w:r>
        <w:rPr>
          <w:rFonts w:ascii="Times New Roman;Times;serif" w:hAnsi="Times New Roman;Times;serif"/>
          <w:b/>
          <w:sz w:val="22"/>
          <w:shd w:fill="FFFFFF" w:val="clear"/>
        </w:rPr>
        <w:t>(i)</w:t>
      </w:r>
      <w:r>
        <w:rPr>
          <w:rFonts w:ascii="Times New Roman;Times;serif" w:hAnsi="Times New Roman;Times;serif"/>
          <w:sz w:val="22"/>
          <w:shd w:fill="FFFFFF" w:val="clear"/>
        </w:rPr>
        <w:t xml:space="preserve">Subject to the following paragraph, my Deferred Awards will be settled in a single lump sum installment in whole shares on the earlier of (y) immediately prior to a Change in Control, provided that, for the avoidance of doubt, a transaction will not be deemed a Change in Control unless the transaction qualifies as a “change in control event” within the meaning of Treasury Regulation Section 1.409A-3(i)(5); or (z) within 60 days following my Separation Date or my death, whichever is earlier. </w:t>
      </w:r>
    </w:p>
    <w:p>
      <w:pPr>
        <w:pStyle w:val="TextBody"/>
        <w:bidi w:val="0"/>
        <w:spacing w:before="0" w:after="240"/>
        <w:ind w:left="0" w:right="0" w:firstLine="720"/>
        <w:jc w:val="both"/>
        <w:rPr>
          <w:rFonts w:ascii="Times New Roman;Times;serif" w:hAnsi="Times New Roman;Times;serif"/>
          <w:sz w:val="22"/>
          <w:shd w:fill="FFFFFF" w:val="clear"/>
        </w:rPr>
      </w:pPr>
      <w:r>
        <w:rPr>
          <w:rFonts w:ascii="Times New Roman;Times;serif" w:hAnsi="Times New Roman;Times;serif"/>
          <w:sz w:val="22"/>
          <w:shd w:fill="FFFFFF" w:val="clear"/>
        </w:rPr>
        <w:t>For the purposes of the foregoing, “</w:t>
      </w:r>
      <w:r>
        <w:rPr>
          <w:rFonts w:ascii="Times New Roman;Times;serif" w:hAnsi="Times New Roman;Times;serif"/>
          <w:b/>
          <w:i/>
          <w:sz w:val="22"/>
          <w:shd w:fill="FFFFFF" w:val="clear"/>
        </w:rPr>
        <w:t>Separation Date”</w:t>
      </w:r>
      <w:r>
        <w:rPr>
          <w:rFonts w:ascii="Times New Roman;Times;serif" w:hAnsi="Times New Roman;Times;serif"/>
          <w:sz w:val="22"/>
          <w:shd w:fill="FFFFFF" w:val="clear"/>
        </w:rPr>
        <w:t xml:space="preserve"> means the date of my retirement or other separation from service with the Company and all of its Affiliates (as determined in accordance with Section 409A(2)(A)(i) of the Code and Treasury Regulation Section 1.409A-1(h)).</w:t>
      </w:r>
    </w:p>
    <w:p>
      <w:pPr>
        <w:pStyle w:val="TextBody"/>
        <w:bidi w:val="0"/>
        <w:spacing w:before="0" w:after="240"/>
        <w:ind w:left="0" w:right="0" w:hanging="0"/>
        <w:jc w:val="both"/>
        <w:rPr>
          <w:rFonts w:ascii="Times New Roman;Times;serif" w:hAnsi="Times New Roman;Times;serif"/>
          <w:sz w:val="22"/>
          <w:shd w:fill="FFFFFF" w:val="clear"/>
        </w:rPr>
      </w:pPr>
      <w:r>
        <w:rPr>
          <w:rFonts w:ascii="Times New Roman;Times;serif" w:hAnsi="Times New Roman;Times;serif"/>
          <w:b/>
          <w:sz w:val="22"/>
          <w:shd w:fill="FFFFFF" w:val="clear"/>
        </w:rPr>
        <w:t>(ii)</w:t>
      </w:r>
      <w:r>
        <w:rPr>
          <w:rFonts w:ascii="Times New Roman;Times;serif" w:hAnsi="Times New Roman;Times;serif"/>
          <w:sz w:val="22"/>
          <w:shd w:fill="FFFFFF" w:val="clear"/>
        </w:rPr>
        <w:t>If a distribution hereunder is triggered because of my Separation Date and I am a “specified employee” within the meaning of Section 409A at the time of my Separation Date, then the distribution that I would otherwise be entitled to receive upon the Separation Date will not be settled until the date that is 6 months and 1 day following the Separation Date, unless I die following my Separation Date, in which case, my distribution will commence as soon as practicable following my death.</w:t>
      </w:r>
    </w:p>
    <w:p>
      <w:pPr>
        <w:pStyle w:val="TextBody"/>
        <w:bidi w:val="0"/>
        <w:spacing w:before="0" w:after="240"/>
        <w:ind w:left="0" w:right="0" w:hanging="0"/>
        <w:jc w:val="left"/>
        <w:rPr>
          <w:rFonts w:ascii="Times New Roman;Times;serif" w:hAnsi="Times New Roman;Times;serif"/>
          <w:b/>
          <w:sz w:val="22"/>
          <w:shd w:fill="FFFFFF" w:val="clear"/>
        </w:rPr>
      </w:pPr>
      <w:r>
        <w:rPr>
          <w:rFonts w:ascii="Times New Roman;Times;serif" w:hAnsi="Times New Roman;Times;serif"/>
          <w:b/>
          <w:sz w:val="22"/>
          <w:shd w:fill="FFFFFF" w:val="clear"/>
        </w:rPr>
        <w:t>4.</w:t>
      </w:r>
      <w:r>
        <w:rPr>
          <w:rFonts w:ascii="Times New Roman;Times;serif" w:hAnsi="Times New Roman;Times;serif"/>
          <w:b/>
          <w:smallCaps/>
          <w:sz w:val="22"/>
          <w:shd w:fill="FFFFFF" w:val="clear"/>
        </w:rPr>
        <w:t>Participant Acknowledgements and Signatures:</w:t>
      </w:r>
    </w:p>
    <w:p>
      <w:pPr>
        <w:pStyle w:val="TextBody"/>
        <w:bidi w:val="0"/>
        <w:ind w:left="0" w:right="0" w:hanging="0"/>
        <w:jc w:val="both"/>
        <w:rPr>
          <w:rFonts w:ascii="Times New Roman;Times;serif" w:hAnsi="Times New Roman;Times;serif"/>
          <w:sz w:val="22"/>
          <w:shd w:fill="FFFFFF" w:val="clear"/>
        </w:rPr>
      </w:pPr>
      <w:r>
        <w:rPr>
          <w:rFonts w:ascii="Times New Roman;Times;serif" w:hAnsi="Times New Roman;Times;serif"/>
          <w:b/>
          <w:sz w:val="22"/>
          <w:shd w:fill="FFFFFF" w:val="clear"/>
        </w:rPr>
        <w:t>(a)</w:t>
      </w:r>
      <w:r>
        <w:rPr>
          <w:rFonts w:ascii="Times New Roman;Times;serif" w:hAnsi="Times New Roman;Times;serif"/>
          <w:sz w:val="22"/>
          <w:shd w:fill="FFFFFF" w:val="clear"/>
        </w:rPr>
        <w:t xml:space="preserve">I agree to all of the terms and conditions of this Election Form. </w:t>
      </w:r>
    </w:p>
    <w:p>
      <w:pPr>
        <w:pStyle w:val="TextBody"/>
        <w:bidi w:val="0"/>
        <w:spacing w:before="0" w:after="240"/>
        <w:ind w:left="1440" w:right="0" w:hanging="0"/>
        <w:jc w:val="both"/>
        <w:rPr>
          <w:smallCaps/>
          <w:shd w:fill="FFFFFF" w:val="clear"/>
        </w:rPr>
      </w:pPr>
      <w:r>
        <w:rPr>
          <w:smallCaps/>
          <w:shd w:fill="FFFFFF" w:val="clear"/>
        </w:rPr>
        <w:t>​</w:t>
      </w:r>
    </w:p>
    <w:p>
      <w:pPr>
        <w:pStyle w:val="TextBody"/>
        <w:bidi w:val="0"/>
        <w:ind w:left="0" w:right="0" w:hanging="0"/>
        <w:jc w:val="both"/>
        <w:rPr>
          <w:rFonts w:ascii="Times New Roman;Times;serif" w:hAnsi="Times New Roman;Times;serif"/>
          <w:sz w:val="22"/>
          <w:shd w:fill="FFFFFF" w:val="clear"/>
        </w:rPr>
      </w:pPr>
      <w:r>
        <w:rPr>
          <w:rFonts w:ascii="Times New Roman;Times;serif" w:hAnsi="Times New Roman;Times;serif"/>
          <w:b/>
          <w:sz w:val="22"/>
          <w:shd w:fill="FFFFFF" w:val="clear"/>
        </w:rPr>
        <w:t>(b)</w:t>
      </w:r>
      <w:r>
        <w:rPr>
          <w:rFonts w:ascii="Times New Roman;Times;serif" w:hAnsi="Times New Roman;Times;serif"/>
          <w:sz w:val="22"/>
          <w:shd w:fill="FFFFFF" w:val="clear"/>
        </w:rPr>
        <w:t xml:space="preserve">I acknowledge that I have received and read a copy of the Plan’s prospectus and that I am familiar with the terms and provisions of the Plan. </w:t>
      </w:r>
    </w:p>
    <w:p>
      <w:pPr>
        <w:pStyle w:val="TextBody"/>
        <w:bidi w:val="0"/>
        <w:spacing w:before="0" w:after="240"/>
        <w:ind w:left="1440" w:right="0" w:hanging="0"/>
        <w:jc w:val="both"/>
        <w:rPr>
          <w:smallCaps/>
          <w:shd w:fill="FFFFFF" w:val="clear"/>
        </w:rPr>
      </w:pPr>
      <w:r>
        <w:rPr>
          <w:smallCaps/>
          <w:shd w:fill="FFFFFF" w:val="clear"/>
        </w:rPr>
        <w:t>​</w:t>
      </w:r>
    </w:p>
    <w:p>
      <w:pPr>
        <w:pStyle w:val="TextBody"/>
        <w:bidi w:val="0"/>
        <w:ind w:left="0" w:right="0" w:hanging="0"/>
        <w:jc w:val="both"/>
        <w:rPr>
          <w:rFonts w:ascii="Times New Roman;Times;serif" w:hAnsi="Times New Roman;Times;serif"/>
          <w:sz w:val="22"/>
          <w:shd w:fill="FFFFFF" w:val="clear"/>
        </w:rPr>
      </w:pPr>
      <w:r>
        <w:rPr>
          <w:rFonts w:ascii="Times New Roman;Times;serif" w:hAnsi="Times New Roman;Times;serif"/>
          <w:b/>
          <w:sz w:val="22"/>
          <w:shd w:fill="FFFFFF" w:val="clear"/>
        </w:rPr>
        <w:t>(c)</w:t>
      </w:r>
      <w:r>
        <w:rPr>
          <w:rFonts w:ascii="Times New Roman;Times;serif" w:hAnsi="Times New Roman;Times;serif"/>
          <w:sz w:val="22"/>
          <w:shd w:fill="FFFFFF" w:val="clear"/>
        </w:rPr>
        <w:t xml:space="preserve">I agree to the right of the Board or the Compensation Committee to amend or terminate my election under </w:t>
      </w:r>
      <w:r>
        <w:rPr>
          <w:rFonts w:ascii="Times New Roman;Times;serif" w:hAnsi="Times New Roman;Times;serif"/>
          <w:sz w:val="22"/>
          <w:u w:val="single"/>
          <w:shd w:fill="FFFFFF" w:val="clear"/>
        </w:rPr>
        <w:t>Section 3</w:t>
      </w:r>
      <w:r>
        <w:rPr>
          <w:rFonts w:ascii="Times New Roman;Times;serif" w:hAnsi="Times New Roman;Times;serif"/>
          <w:sz w:val="22"/>
          <w:shd w:fill="FFFFFF" w:val="clear"/>
        </w:rPr>
        <w:t xml:space="preserve"> at any time and for any reason, with or without notice; provided that such termination or amendment is performed in compliance with Section 409A (as determined by Company legal counsel in its sole and absolute discretion). </w:t>
      </w:r>
    </w:p>
    <w:p>
      <w:pPr>
        <w:pStyle w:val="TextBody"/>
        <w:bidi w:val="0"/>
        <w:spacing w:before="0" w:after="240"/>
        <w:ind w:left="1440" w:right="0" w:hanging="0"/>
        <w:jc w:val="both"/>
        <w:rPr>
          <w:smallCaps/>
          <w:shd w:fill="FFFFFF" w:val="clear"/>
        </w:rPr>
      </w:pPr>
      <w:r>
        <w:rPr>
          <w:smallCaps/>
          <w:shd w:fill="FFFFFF" w:val="clear"/>
        </w:rPr>
        <w:t>​</w:t>
      </w:r>
    </w:p>
    <w:p>
      <w:pPr>
        <w:pStyle w:val="TextBody"/>
        <w:bidi w:val="0"/>
        <w:ind w:left="0" w:right="0" w:hanging="0"/>
        <w:jc w:val="both"/>
        <w:rPr>
          <w:rFonts w:ascii="Times New Roman;Times;serif" w:hAnsi="Times New Roman;Times;serif"/>
          <w:sz w:val="22"/>
          <w:shd w:fill="FFFFFF" w:val="clear"/>
        </w:rPr>
      </w:pPr>
      <w:r>
        <w:rPr>
          <w:rFonts w:ascii="Times New Roman;Times;serif" w:hAnsi="Times New Roman;Times;serif"/>
          <w:b/>
          <w:sz w:val="22"/>
          <w:shd w:fill="FFFFFF" w:val="clear"/>
        </w:rPr>
        <w:t>(d)</w:t>
      </w:r>
      <w:r>
        <w:rPr>
          <w:rFonts w:ascii="Times New Roman;Times;serif" w:hAnsi="Times New Roman;Times;serif"/>
          <w:sz w:val="22"/>
          <w:shd w:fill="FFFFFF" w:val="clear"/>
        </w:rPr>
        <w:t xml:space="preserve">I understand that the obligation of the Company to settle any Deferred Awards is unfunded and that no assets of any kind have been segregated in a trust or otherwise set aside to satisfy any obligation under this Election Form.  I also understand that any election to defer the settlement of any Awards pursuant to this Election Form will make me only a general, unsecured creditor of the Company. </w:t>
      </w:r>
    </w:p>
    <w:p>
      <w:pPr>
        <w:pStyle w:val="TextBody"/>
        <w:bidi w:val="0"/>
        <w:spacing w:before="0" w:after="240"/>
        <w:ind w:left="1440" w:right="0" w:hanging="0"/>
        <w:jc w:val="both"/>
        <w:rPr>
          <w:smallCaps/>
          <w:shd w:fill="FFFFFF" w:val="clear"/>
        </w:rPr>
      </w:pPr>
      <w:r>
        <w:rPr>
          <w:smallCaps/>
          <w:shd w:fill="FFFFFF" w:val="clear"/>
        </w:rPr>
        <w:t>​</w:t>
      </w:r>
    </w:p>
    <w:p>
      <w:pPr>
        <w:pStyle w:val="TextBody"/>
        <w:bidi w:val="0"/>
        <w:ind w:left="0" w:right="0" w:hanging="0"/>
        <w:jc w:val="both"/>
        <w:rPr>
          <w:rFonts w:ascii="Times New Roman;Times;serif" w:hAnsi="Times New Roman;Times;serif"/>
          <w:sz w:val="22"/>
          <w:shd w:fill="FFFFFF" w:val="clear"/>
        </w:rPr>
      </w:pPr>
      <w:r>
        <w:rPr>
          <w:rFonts w:ascii="Times New Roman;Times;serif" w:hAnsi="Times New Roman;Times;serif"/>
          <w:b/>
          <w:sz w:val="22"/>
          <w:shd w:fill="FFFFFF" w:val="clear"/>
        </w:rPr>
        <w:t>(e)</w:t>
      </w:r>
      <w:r>
        <w:rPr>
          <w:rFonts w:ascii="Times New Roman;Times;serif" w:hAnsi="Times New Roman;Times;serif"/>
          <w:sz w:val="22"/>
          <w:shd w:fill="FFFFFF" w:val="clear"/>
        </w:rPr>
        <w:t xml:space="preserve">I understand that any amounts deferred will be taxable as ordinary income in the year settled.  Notwithstanding, I agree and understand that the Company does not guarantee in any way whatsoever the tax treatment of any deferrals or payments made under the Policy or this Election Form.  I </w:t>
      </w:r>
    </w:p>
    <w:p>
      <w:pPr>
        <w:pStyle w:val="TextBody"/>
        <w:bidi w:val="0"/>
        <w:spacing w:before="120" w:after="0"/>
        <w:ind w:left="0" w:right="0" w:firstLine="720"/>
        <w:jc w:val="left"/>
        <w:rPr>
          <w:rFonts w:ascii="Times New Roman;Times;serif" w:hAnsi="Times New Roman;Times;serif"/>
          <w:sz w:val="18"/>
          <w:shd w:fill="FFFFFF" w:val="clear"/>
        </w:rPr>
      </w:pPr>
      <w:bookmarkStart w:id="836" w:name="footnote-5"/>
      <w:bookmarkEnd w:id="836"/>
      <w:r>
        <w:rPr>
          <w:rFonts w:ascii="Times New Roman;Times;serif" w:hAnsi="Times New Roman;Times;serif"/>
          <w:sz w:val="18"/>
          <w:shd w:fill="FFFFFF" w:val="clear"/>
        </w:rPr>
        <w:t xml:space="preserve">4 </w:t>
      </w:r>
      <w:r>
        <w:rPr>
          <w:rFonts w:ascii="Times New Roman;Times;serif" w:hAnsi="Times New Roman;Times;serif"/>
          <w:sz w:val="20"/>
          <w:shd w:fill="FFFFFF" w:val="clear"/>
        </w:rPr>
        <w:t>Awards with respect to which the Non-Employee Director is making a deferral election to be included.</w:t>
      </w:r>
    </w:p>
    <w:p>
      <w:pPr>
        <w:pStyle w:val="TextBody"/>
        <w:bidi w:val="0"/>
        <w:spacing w:before="0" w:after="0"/>
        <w:ind w:left="0" w:right="0" w:hanging="0"/>
        <w:jc w:val="center"/>
        <w:rPr>
          <w:rFonts w:ascii="Times New Roman;Times;serif" w:hAnsi="Times New Roman;Times;serif"/>
          <w:smallCaps/>
          <w:sz w:val="22"/>
        </w:rPr>
      </w:pPr>
      <w:r>
        <w:rPr>
          <w:rFonts w:ascii="Times New Roman;Times;serif" w:hAnsi="Times New Roman;Times;serif"/>
          <w:smallCaps/>
          <w:sz w:val="22"/>
        </w:rPr>
        <w:t>Exhibit A-2</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ind w:left="0" w:right="0" w:hanging="0"/>
        <w:jc w:val="both"/>
        <w:rPr>
          <w:rFonts w:ascii="Times New Roman;Times;serif" w:hAnsi="Times New Roman;Times;serif"/>
          <w:sz w:val="22"/>
          <w:shd w:fill="FFFFFF" w:val="clear"/>
        </w:rPr>
      </w:pPr>
      <w:r>
        <w:rPr>
          <w:rFonts w:ascii="Times New Roman;Times;serif" w:hAnsi="Times New Roman;Times;serif"/>
          <w:sz w:val="22"/>
          <w:shd w:fill="FFFFFF" w:val="clear"/>
        </w:rPr>
        <w:t xml:space="preserve">understand that I will be responsible for all taxes and any other costs owed with respect to any deferrals or payments made with respect to my Awards. </w:t>
      </w:r>
    </w:p>
    <w:p>
      <w:pPr>
        <w:pStyle w:val="TextBody"/>
        <w:bidi w:val="0"/>
        <w:spacing w:before="0" w:after="240"/>
        <w:ind w:left="1440" w:right="0" w:hanging="0"/>
        <w:jc w:val="both"/>
        <w:rPr>
          <w:smallCaps/>
          <w:shd w:fill="FFFFFF" w:val="clear"/>
        </w:rPr>
      </w:pPr>
      <w:r>
        <w:rPr>
          <w:smallCaps/>
          <w:shd w:fill="FFFFFF" w:val="clear"/>
        </w:rPr>
        <w:t>​</w:t>
      </w:r>
    </w:p>
    <w:p>
      <w:pPr>
        <w:pStyle w:val="TextBody"/>
        <w:bidi w:val="0"/>
        <w:ind w:left="0" w:right="0" w:hanging="0"/>
        <w:jc w:val="both"/>
        <w:rPr>
          <w:rFonts w:ascii="Times New Roman;Times;serif" w:hAnsi="Times New Roman;Times;serif"/>
          <w:sz w:val="22"/>
          <w:shd w:fill="FFFFFF" w:val="clear"/>
        </w:rPr>
      </w:pPr>
      <w:r>
        <w:rPr>
          <w:rFonts w:ascii="Times New Roman;Times;serif" w:hAnsi="Times New Roman;Times;serif"/>
          <w:b/>
          <w:sz w:val="22"/>
          <w:shd w:fill="FFFFFF" w:val="clear"/>
        </w:rPr>
        <w:t>(f)</w:t>
      </w:r>
      <w:r>
        <w:rPr>
          <w:rFonts w:ascii="Times New Roman;Times;serif" w:hAnsi="Times New Roman;Times;serif"/>
          <w:sz w:val="22"/>
          <w:shd w:fill="FFFFFF" w:val="clear"/>
        </w:rPr>
        <w:t>I understand that the Company will be under no obligation to settle any Deferred Awards until any applicable tax withholding obligations are satisfied and that if I fail to satisfy any such tax withholding obligations I will forfeit my right to receive the shares subject to my Deferred Award.  I understand that the Company has the right (but not the obligation) to withhold taxes from my Deferred Awards (including pursuant to net share withholding) in any amount and through such procedure as the Company deems necessary or desirable to satisfy any income or other tax obligations incurred with respect to my Awards.</w:t>
      </w:r>
    </w:p>
    <w:p>
      <w:pPr>
        <w:pStyle w:val="TextBody"/>
        <w:bidi w:val="0"/>
        <w:spacing w:before="0" w:after="240"/>
        <w:ind w:left="1440" w:right="0" w:hanging="0"/>
        <w:jc w:val="both"/>
        <w:rPr>
          <w:smallCaps/>
          <w:shd w:fill="FFFFFF" w:val="clear"/>
        </w:rPr>
      </w:pPr>
      <w:r>
        <w:rPr>
          <w:smallCaps/>
          <w:shd w:fill="FFFFFF" w:val="clear"/>
        </w:rPr>
        <w:t>​</w:t>
      </w:r>
    </w:p>
    <w:p>
      <w:pPr>
        <w:pStyle w:val="TextBody"/>
        <w:bidi w:val="0"/>
        <w:ind w:left="0" w:right="0" w:hanging="0"/>
        <w:jc w:val="both"/>
        <w:rPr>
          <w:rFonts w:ascii="Times New Roman;Times;serif" w:hAnsi="Times New Roman;Times;serif"/>
          <w:sz w:val="22"/>
          <w:shd w:fill="FFFFFF" w:val="clear"/>
        </w:rPr>
      </w:pPr>
      <w:r>
        <w:rPr>
          <w:rFonts w:ascii="Times New Roman;Times;serif" w:hAnsi="Times New Roman;Times;serif"/>
          <w:b/>
          <w:sz w:val="22"/>
          <w:shd w:fill="FFFFFF" w:val="clear"/>
        </w:rPr>
        <w:t>(g)</w:t>
      </w:r>
      <w:r>
        <w:rPr>
          <w:rFonts w:ascii="Times New Roman;Times;serif" w:hAnsi="Times New Roman;Times;serif"/>
          <w:sz w:val="22"/>
          <w:shd w:fill="FFFFFF" w:val="clear"/>
        </w:rPr>
        <w:t>I understand that, upon receipt of any Deferred Awards, in addition to federal taxes, I may owe taxes to the state where I resided at the time of vesting in the Deferred Awards and/or to the state where I reside when the Deferred Awards are settled, if different.</w:t>
      </w:r>
    </w:p>
    <w:p>
      <w:pPr>
        <w:pStyle w:val="TextBody"/>
        <w:bidi w:val="0"/>
        <w:spacing w:before="0" w:after="240"/>
        <w:ind w:left="1440" w:right="0" w:hanging="0"/>
        <w:jc w:val="both"/>
        <w:rPr>
          <w:smallCaps/>
          <w:shd w:fill="FFFFFF" w:val="clear"/>
        </w:rPr>
      </w:pPr>
      <w:r>
        <w:rPr>
          <w:smallCaps/>
          <w:shd w:fill="FFFFFF" w:val="clear"/>
        </w:rPr>
        <w:t>​</w:t>
      </w:r>
    </w:p>
    <w:p>
      <w:pPr>
        <w:pStyle w:val="TextBody"/>
        <w:bidi w:val="0"/>
        <w:ind w:left="0" w:right="0" w:hanging="0"/>
        <w:jc w:val="both"/>
        <w:rPr>
          <w:rFonts w:ascii="Times New Roman;Times;serif" w:hAnsi="Times New Roman;Times;serif"/>
          <w:sz w:val="22"/>
          <w:shd w:fill="FFFFFF" w:val="clear"/>
        </w:rPr>
      </w:pPr>
      <w:r>
        <w:rPr>
          <w:rFonts w:ascii="Times New Roman;Times;serif" w:hAnsi="Times New Roman;Times;serif"/>
          <w:b/>
          <w:sz w:val="22"/>
          <w:shd w:fill="FFFFFF" w:val="clear"/>
        </w:rPr>
        <w:t>(h)</w:t>
      </w:r>
      <w:r>
        <w:rPr>
          <w:rFonts w:ascii="Times New Roman;Times;serif" w:hAnsi="Times New Roman;Times;serif"/>
          <w:sz w:val="22"/>
          <w:shd w:fill="FFFFFF" w:val="clear"/>
        </w:rPr>
        <w:t xml:space="preserve">I understand, acknowledge and agree that the Board or the Compensation Committee has the discretion to make all determinations and decisions regarding any elections set forth on this Election Form. </w:t>
      </w:r>
    </w:p>
    <w:p>
      <w:pPr>
        <w:pStyle w:val="TextBody"/>
        <w:bidi w:val="0"/>
        <w:spacing w:before="0" w:after="240"/>
        <w:ind w:left="1440" w:right="0" w:hanging="0"/>
        <w:jc w:val="both"/>
        <w:rPr>
          <w:smallCaps/>
          <w:shd w:fill="FFFFFF" w:val="clear"/>
        </w:rPr>
      </w:pPr>
      <w:r>
        <w:rPr>
          <w:smallCaps/>
          <w:shd w:fill="FFFFFF" w:val="clear"/>
        </w:rPr>
        <w:t>​</w:t>
      </w:r>
    </w:p>
    <w:p>
      <w:pPr>
        <w:pStyle w:val="TextBody"/>
        <w:bidi w:val="0"/>
        <w:ind w:left="0" w:right="0" w:hanging="0"/>
        <w:jc w:val="both"/>
        <w:rPr>
          <w:rFonts w:ascii="Times New Roman;Times;serif" w:hAnsi="Times New Roman;Times;serif"/>
          <w:sz w:val="22"/>
          <w:shd w:fill="FFFFFF" w:val="clear"/>
        </w:rPr>
      </w:pPr>
      <w:r>
        <w:rPr>
          <w:rFonts w:ascii="Times New Roman;Times;serif" w:hAnsi="Times New Roman;Times;serif"/>
          <w:b/>
          <w:sz w:val="22"/>
          <w:shd w:fill="FFFFFF" w:val="clear"/>
        </w:rPr>
        <w:t>(i)</w:t>
      </w:r>
      <w:r>
        <w:rPr>
          <w:rFonts w:ascii="Times New Roman;Times;serif" w:hAnsi="Times New Roman;Times;serif"/>
          <w:sz w:val="22"/>
          <w:shd w:fill="FFFFFF" w:val="clear"/>
        </w:rPr>
        <w:t xml:space="preserve">I understand that this Election Form and the elections made hereunder are intended to comply with the requirements of Section 409A so that none of [the Deferred Awards or the Retainer Grant] issuable will be subject to the tax acceleration and additional penalty taxes imposed under Section 409A, and any ambiguities herein will be interpreted to so comply.  If applicable, I understand that I am solely responsible for any accelerated income taxes and additional taxes and tax penalties imposed by Section 409A. </w:t>
      </w:r>
    </w:p>
    <w:p>
      <w:pPr>
        <w:pStyle w:val="TextBody"/>
        <w:bidi w:val="0"/>
        <w:spacing w:before="0" w:after="240"/>
        <w:ind w:left="1440" w:right="0" w:hanging="0"/>
        <w:jc w:val="both"/>
        <w:rPr>
          <w:smallCaps/>
          <w:shd w:fill="FFFFFF" w:val="clear"/>
        </w:rPr>
      </w:pPr>
      <w:r>
        <w:rPr>
          <w:smallCaps/>
          <w:shd w:fill="FFFFFF" w:val="clear"/>
        </w:rPr>
        <w:t>​</w:t>
      </w:r>
    </w:p>
    <w:p>
      <w:pPr>
        <w:pStyle w:val="TextBody"/>
        <w:bidi w:val="0"/>
        <w:spacing w:before="0" w:after="240"/>
        <w:ind w:left="0" w:right="0" w:hanging="0"/>
        <w:jc w:val="both"/>
        <w:rPr>
          <w:rFonts w:ascii="Times New Roman;Times;serif" w:hAnsi="Times New Roman;Times;serif"/>
          <w:sz w:val="22"/>
          <w:shd w:fill="FFFFFF" w:val="clear"/>
        </w:rPr>
      </w:pPr>
      <w:r>
        <w:rPr>
          <w:rFonts w:ascii="Times New Roman;Times;serif" w:hAnsi="Times New Roman;Times;serif"/>
          <w:b/>
          <w:sz w:val="22"/>
          <w:shd w:fill="FFFFFF" w:val="clear"/>
        </w:rPr>
        <w:t>(j)</w:t>
      </w:r>
      <w:r>
        <w:rPr>
          <w:rFonts w:ascii="Times New Roman;Times;serif" w:hAnsi="Times New Roman;Times;serif"/>
          <w:sz w:val="22"/>
          <w:shd w:fill="FFFFFF" w:val="clear"/>
        </w:rPr>
        <w:t xml:space="preserve">I also understand that this Election Form and the elections made hereunder will in all respects be subject to the terms and conditions of the Policy, the applicable Award Agreement and the Plan, as applicable.  Should any inconsistency exist between this Election Form, the Policy, the Plan, the Award Agreement under which an Award was granted, and/or any applicable law, then the provisions of either the applicable law (including, but not limited to, Section 409A) or the Plan will control, with the Plan subordinated to the applicable law and the Award Agreement and the Policy subordinated to this Election Form. </w:t>
      </w:r>
    </w:p>
    <w:p>
      <w:pPr>
        <w:pStyle w:val="TextBody"/>
        <w:bidi w:val="0"/>
        <w:spacing w:before="0" w:after="0"/>
        <w:ind w:left="0" w:right="0" w:firstLine="720"/>
        <w:jc w:val="both"/>
        <w:rPr>
          <w:rFonts w:ascii="Times New Roman;Times;serif" w:hAnsi="Times New Roman;Times;serif"/>
          <w:sz w:val="22"/>
          <w:shd w:fill="FFFFFF" w:val="clear"/>
        </w:rPr>
      </w:pPr>
      <w:r>
        <w:rPr>
          <w:rFonts w:ascii="Times New Roman;Times;serif" w:hAnsi="Times New Roman;Times;serif"/>
          <w:sz w:val="22"/>
          <w:shd w:fill="FFFFFF" w:val="clear"/>
        </w:rPr>
        <w:t xml:space="preserve">By signing this Election Form, I authorize the implementation of the above elections.  I understand that my [deferral election and retainer grant election] are irrevocable effective as of the Submission Deadline and may not be changed in the future, except in accordance with the requirements of Section 409A and the procedures specified by the Board or the Compensation Committee. </w:t>
      </w:r>
    </w:p>
    <w:tbl>
      <w:tblPr>
        <w:tblW w:w="3510" w:type="dxa"/>
        <w:jc w:val="center"/>
        <w:tblInd w:w="0" w:type="dxa"/>
        <w:tblLayout w:type="fixed"/>
        <w:tblCellMar>
          <w:top w:w="0" w:type="dxa"/>
          <w:left w:w="0" w:type="dxa"/>
          <w:bottom w:w="0" w:type="dxa"/>
          <w:right w:w="0" w:type="dxa"/>
        </w:tblCellMar>
      </w:tblPr>
      <w:tblGrid>
        <w:gridCol w:w="1743"/>
        <w:gridCol w:w="762"/>
        <w:gridCol w:w="173"/>
        <w:gridCol w:w="343"/>
        <w:gridCol w:w="489"/>
      </w:tblGrid>
      <w:tr>
        <w:trPr/>
        <w:tc>
          <w:tcPr>
            <w:tcW w:w="1743" w:type="dxa"/>
            <w:tcBorders/>
            <w:vAlign w:val="center"/>
          </w:tcPr>
          <w:p>
            <w:pPr>
              <w:pStyle w:val="TableContents"/>
              <w:bidi w:val="0"/>
              <w:spacing w:before="0" w:after="0"/>
              <w:ind w:left="0" w:right="0" w:hanging="0"/>
              <w:jc w:val="both"/>
              <w:rPr/>
            </w:pPr>
            <w:r>
              <w:rPr/>
              <w:t>​</w:t>
            </w:r>
          </w:p>
        </w:tc>
        <w:tc>
          <w:tcPr>
            <w:tcW w:w="935" w:type="dxa"/>
            <w:gridSpan w:val="2"/>
            <w:tcBorders/>
            <w:vAlign w:val="center"/>
          </w:tcPr>
          <w:p>
            <w:pPr>
              <w:pStyle w:val="TableContents"/>
              <w:bidi w:val="0"/>
              <w:spacing w:before="0" w:after="0"/>
              <w:ind w:left="0" w:right="0" w:hanging="0"/>
              <w:jc w:val="both"/>
              <w:rPr/>
            </w:pPr>
            <w:r>
              <w:rPr/>
              <w:t>​</w:t>
            </w:r>
          </w:p>
        </w:tc>
        <w:tc>
          <w:tcPr>
            <w:tcW w:w="343" w:type="dxa"/>
            <w:tcBorders/>
            <w:vAlign w:val="center"/>
          </w:tcPr>
          <w:p>
            <w:pPr>
              <w:pStyle w:val="TableContents"/>
              <w:bidi w:val="0"/>
              <w:spacing w:before="0" w:after="0"/>
              <w:ind w:left="0" w:right="0" w:hanging="0"/>
              <w:jc w:val="both"/>
              <w:rPr/>
            </w:pPr>
            <w:r>
              <w:rPr/>
              <w:t>​</w:t>
            </w:r>
          </w:p>
        </w:tc>
        <w:tc>
          <w:tcPr>
            <w:tcW w:w="489" w:type="dxa"/>
            <w:tcBorders/>
            <w:vAlign w:val="center"/>
          </w:tcPr>
          <w:p>
            <w:pPr>
              <w:pStyle w:val="TableContents"/>
              <w:bidi w:val="0"/>
              <w:spacing w:before="0" w:after="283"/>
              <w:ind w:left="0" w:right="0" w:hanging="0"/>
              <w:jc w:val="left"/>
              <w:rPr>
                <w:sz w:val="4"/>
                <w:szCs w:val="4"/>
              </w:rPr>
            </w:pPr>
            <w:r>
              <w:rPr>
                <w:sz w:val="4"/>
                <w:szCs w:val="4"/>
              </w:rPr>
            </w:r>
          </w:p>
        </w:tc>
      </w:tr>
      <w:tr>
        <w:trPr/>
        <w:tc>
          <w:tcPr>
            <w:tcW w:w="2505" w:type="dxa"/>
            <w:gridSpan w:val="2"/>
            <w:tcBorders/>
            <w:vAlign w:val="center"/>
          </w:tcPr>
          <w:p>
            <w:pPr>
              <w:pStyle w:val="TableContents"/>
              <w:bidi w:val="0"/>
              <w:spacing w:before="0" w:after="0"/>
              <w:ind w:left="0" w:right="0" w:hanging="0"/>
              <w:jc w:val="both"/>
              <w:rPr>
                <w:rFonts w:ascii="Times New Roman;Times;serif" w:hAnsi="Times New Roman;Times;serif"/>
                <w:sz w:val="22"/>
              </w:rPr>
            </w:pPr>
            <w:r>
              <w:rPr>
                <w:rFonts w:ascii="Times New Roman;Times;serif" w:hAnsi="Times New Roman;Times;serif"/>
                <w:sz w:val="22"/>
              </w:rPr>
              <w:t>Signed:</w:t>
            </w:r>
            <w:r>
              <w:rPr>
                <w:rFonts w:ascii="Times New Roman;Times;serif" w:hAnsi="Times New Roman;Times;serif"/>
                <w:sz w:val="22"/>
                <w:u w:val="single"/>
              </w:rPr>
              <w:t>​ ​​ ​​ ​​ ​​ ​</w:t>
            </w:r>
          </w:p>
          <w:p>
            <w:pPr>
              <w:pStyle w:val="TableContents"/>
              <w:bidi w:val="0"/>
              <w:spacing w:before="0" w:after="0"/>
              <w:ind w:left="0" w:right="0" w:hanging="0"/>
              <w:jc w:val="both"/>
              <w:rPr>
                <w:rFonts w:ascii="Times New Roman;Times;serif" w:hAnsi="Times New Roman;Times;serif"/>
                <w:sz w:val="22"/>
              </w:rPr>
            </w:pPr>
            <w:r>
              <w:rPr>
                <w:rFonts w:ascii="Times New Roman;Times;serif" w:hAnsi="Times New Roman;Times;serif"/>
                <w:sz w:val="22"/>
              </w:rPr>
              <w:t>Participant Name:</w:t>
            </w:r>
            <w:r>
              <w:rPr>
                <w:rFonts w:ascii="Times New Roman;Times;serif" w:hAnsi="Times New Roman;Times;serif"/>
                <w:sz w:val="22"/>
                <w:u w:val="single"/>
              </w:rPr>
              <w:t xml:space="preserve"> ​ ​​ ​​ ​​ ​</w:t>
            </w:r>
          </w:p>
        </w:tc>
        <w:tc>
          <w:tcPr>
            <w:tcW w:w="1005" w:type="dxa"/>
            <w:gridSpan w:val="3"/>
            <w:tcBorders/>
            <w:vAlign w:val="center"/>
          </w:tcPr>
          <w:p>
            <w:pPr>
              <w:pStyle w:val="TableContents"/>
              <w:bidi w:val="0"/>
              <w:spacing w:before="0" w:after="240"/>
              <w:ind w:left="0" w:right="0" w:hanging="0"/>
              <w:jc w:val="left"/>
              <w:rPr/>
            </w:pPr>
            <w:r>
              <w:rPr/>
              <w:t>​</w:t>
            </w:r>
          </w:p>
          <w:p>
            <w:pPr>
              <w:pStyle w:val="TableContents"/>
              <w:bidi w:val="0"/>
              <w:spacing w:before="0" w:after="0"/>
              <w:ind w:left="0" w:right="0" w:hanging="0"/>
              <w:jc w:val="both"/>
              <w:rPr>
                <w:rFonts w:ascii="Times New Roman;Times;serif" w:hAnsi="Times New Roman;Times;serif"/>
                <w:sz w:val="22"/>
              </w:rPr>
            </w:pPr>
            <w:r>
              <w:rPr>
                <w:rFonts w:ascii="Times New Roman;Times;serif" w:hAnsi="Times New Roman;Times;serif"/>
                <w:sz w:val="22"/>
              </w:rPr>
              <w:t>Date:</w:t>
            </w:r>
            <w:r>
              <w:rPr>
                <w:rFonts w:ascii="Times New Roman;Times;serif" w:hAnsi="Times New Roman;Times;serif"/>
                <w:sz w:val="22"/>
                <w:u w:val="single"/>
              </w:rPr>
              <w:t>​ ​​ ​​ ​​ ​​ ​​ ​</w:t>
            </w:r>
          </w:p>
        </w:tc>
      </w:tr>
      <w:tr>
        <w:trPr/>
        <w:tc>
          <w:tcPr>
            <w:tcW w:w="2505" w:type="dxa"/>
            <w:gridSpan w:val="2"/>
            <w:tcBorders/>
            <w:vAlign w:val="center"/>
          </w:tcPr>
          <w:p>
            <w:pPr>
              <w:pStyle w:val="TableContents"/>
              <w:bidi w:val="0"/>
              <w:spacing w:before="0" w:after="240"/>
              <w:ind w:left="0" w:right="0" w:hanging="0"/>
              <w:jc w:val="left"/>
              <w:rPr/>
            </w:pPr>
            <w:r>
              <w:rPr/>
              <w:t>​</w:t>
            </w:r>
          </w:p>
        </w:tc>
        <w:tc>
          <w:tcPr>
            <w:tcW w:w="1005" w:type="dxa"/>
            <w:gridSpan w:val="3"/>
            <w:tcBorders/>
            <w:vAlign w:val="center"/>
          </w:tcPr>
          <w:p>
            <w:pPr>
              <w:pStyle w:val="TableContents"/>
              <w:bidi w:val="0"/>
              <w:spacing w:before="0" w:after="240"/>
              <w:ind w:left="0" w:right="0" w:hanging="0"/>
              <w:jc w:val="left"/>
              <w:rPr/>
            </w:pPr>
            <w:r>
              <w:rPr/>
              <w:t>​</w:t>
            </w:r>
          </w:p>
        </w:tc>
      </w:tr>
      <w:tr>
        <w:trPr/>
        <w:tc>
          <w:tcPr>
            <w:tcW w:w="2505" w:type="dxa"/>
            <w:gridSpan w:val="2"/>
            <w:tcBorders/>
            <w:vAlign w:val="center"/>
          </w:tcPr>
          <w:p>
            <w:pPr>
              <w:pStyle w:val="TableContents"/>
              <w:bidi w:val="0"/>
              <w:spacing w:before="0" w:after="0"/>
              <w:ind w:left="0" w:right="0" w:hanging="0"/>
              <w:jc w:val="left"/>
              <w:rPr>
                <w:rFonts w:ascii="Times New Roman;Times;serif" w:hAnsi="Times New Roman;Times;serif"/>
                <w:b/>
                <w:sz w:val="22"/>
              </w:rPr>
            </w:pPr>
            <w:r>
              <w:rPr>
                <w:rFonts w:ascii="Times New Roman;Times;serif" w:hAnsi="Times New Roman;Times;serif"/>
                <w:b/>
                <w:sz w:val="22"/>
              </w:rPr>
              <w:t>Agreed to and accepted:</w:t>
            </w:r>
          </w:p>
        </w:tc>
        <w:tc>
          <w:tcPr>
            <w:tcW w:w="1005" w:type="dxa"/>
            <w:gridSpan w:val="3"/>
            <w:tcBorders/>
            <w:vAlign w:val="center"/>
          </w:tcPr>
          <w:p>
            <w:pPr>
              <w:pStyle w:val="TableContents"/>
              <w:bidi w:val="0"/>
              <w:spacing w:before="0" w:after="240"/>
              <w:ind w:left="0" w:right="0" w:hanging="0"/>
              <w:jc w:val="left"/>
              <w:rPr/>
            </w:pPr>
            <w:r>
              <w:rPr/>
              <w:t>​</w:t>
            </w:r>
          </w:p>
        </w:tc>
      </w:tr>
      <w:tr>
        <w:trPr/>
        <w:tc>
          <w:tcPr>
            <w:tcW w:w="2505" w:type="dxa"/>
            <w:gridSpan w:val="2"/>
            <w:tcBorders/>
            <w:vAlign w:val="center"/>
          </w:tcPr>
          <w:p>
            <w:pPr>
              <w:pStyle w:val="TableContents"/>
              <w:bidi w:val="0"/>
              <w:spacing w:before="0" w:after="240"/>
              <w:ind w:left="0" w:right="0" w:hanging="0"/>
              <w:jc w:val="left"/>
              <w:rPr/>
            </w:pPr>
            <w:r>
              <w:rPr/>
              <w:t>​</w:t>
            </w:r>
          </w:p>
        </w:tc>
        <w:tc>
          <w:tcPr>
            <w:tcW w:w="1005" w:type="dxa"/>
            <w:gridSpan w:val="3"/>
            <w:tcBorders/>
            <w:vAlign w:val="center"/>
          </w:tcPr>
          <w:p>
            <w:pPr>
              <w:pStyle w:val="TableContents"/>
              <w:bidi w:val="0"/>
              <w:spacing w:before="0" w:after="240"/>
              <w:ind w:left="0" w:right="0" w:hanging="0"/>
              <w:jc w:val="left"/>
              <w:rPr/>
            </w:pPr>
            <w:r>
              <w:rPr/>
              <w:t>​</w:t>
            </w:r>
          </w:p>
        </w:tc>
      </w:tr>
      <w:tr>
        <w:trPr/>
        <w:tc>
          <w:tcPr>
            <w:tcW w:w="2505" w:type="dxa"/>
            <w:gridSpan w:val="2"/>
            <w:tcBorders/>
            <w:vAlign w:val="center"/>
          </w:tcPr>
          <w:p>
            <w:pPr>
              <w:pStyle w:val="TableContents"/>
              <w:bidi w:val="0"/>
              <w:spacing w:before="0" w:after="0"/>
              <w:ind w:left="0" w:right="0" w:hanging="0"/>
              <w:jc w:val="left"/>
              <w:rPr>
                <w:rFonts w:ascii="Times New Roman;Times;serif" w:hAnsi="Times New Roman;Times;serif"/>
                <w:b/>
                <w:smallCaps/>
                <w:sz w:val="22"/>
              </w:rPr>
            </w:pPr>
            <w:r>
              <w:rPr>
                <w:rFonts w:ascii="Times New Roman;Times;serif" w:hAnsi="Times New Roman;Times;serif"/>
                <w:b/>
                <w:smallCaps/>
                <w:sz w:val="22"/>
              </w:rPr>
              <w:t>MetaVia Inc.</w:t>
            </w:r>
          </w:p>
          <w:p>
            <w:pPr>
              <w:pStyle w:val="TableContents"/>
              <w:bidi w:val="0"/>
              <w:spacing w:before="0" w:after="240"/>
              <w:ind w:left="0" w:right="0" w:hanging="0"/>
              <w:jc w:val="left"/>
              <w:rPr/>
            </w:pPr>
            <w:r>
              <w:rPr/>
              <w:t>​</w:t>
            </w:r>
          </w:p>
          <w:p>
            <w:pPr>
              <w:pStyle w:val="TableContents"/>
              <w:bidi w:val="0"/>
              <w:spacing w:before="0" w:after="0"/>
              <w:ind w:left="0" w:right="0" w:hanging="0"/>
              <w:jc w:val="both"/>
              <w:rPr>
                <w:rFonts w:ascii="Times New Roman;Times;serif" w:hAnsi="Times New Roman;Times;serif"/>
                <w:sz w:val="22"/>
              </w:rPr>
            </w:pPr>
            <w:r>
              <w:rPr>
                <w:rFonts w:ascii="Times New Roman;Times;serif" w:hAnsi="Times New Roman;Times;serif"/>
                <w:sz w:val="22"/>
              </w:rPr>
              <w:t>By:</w:t>
            </w:r>
            <w:r>
              <w:rPr>
                <w:rFonts w:ascii="Times New Roman;Times;serif" w:hAnsi="Times New Roman;Times;serif"/>
                <w:sz w:val="22"/>
                <w:u w:val="single"/>
              </w:rPr>
              <w:t>​ ​​ ​​ ​​ ​​ ​</w:t>
            </w:r>
          </w:p>
          <w:p>
            <w:pPr>
              <w:pStyle w:val="TableContents"/>
              <w:bidi w:val="0"/>
              <w:spacing w:before="0" w:after="0"/>
              <w:ind w:left="0" w:right="0" w:hanging="0"/>
              <w:jc w:val="both"/>
              <w:rPr>
                <w:rFonts w:ascii="Times New Roman;Times;serif" w:hAnsi="Times New Roman;Times;serif"/>
                <w:sz w:val="22"/>
              </w:rPr>
            </w:pPr>
            <w:r>
              <w:rPr>
                <w:rFonts w:ascii="Times New Roman;Times;serif" w:hAnsi="Times New Roman;Times;serif"/>
                <w:sz w:val="22"/>
              </w:rPr>
              <w:t>Name:</w:t>
            </w:r>
            <w:r>
              <w:rPr>
                <w:rFonts w:ascii="Times New Roman;Times;serif" w:hAnsi="Times New Roman;Times;serif"/>
                <w:sz w:val="22"/>
                <w:u w:val="single"/>
              </w:rPr>
              <w:t>​ ​​ ​​ ​​ ​​ ​</w:t>
            </w:r>
          </w:p>
          <w:p>
            <w:pPr>
              <w:pStyle w:val="TableContents"/>
              <w:bidi w:val="0"/>
              <w:spacing w:before="0" w:after="0"/>
              <w:ind w:left="0" w:right="0" w:hanging="0"/>
              <w:jc w:val="both"/>
              <w:rPr>
                <w:rFonts w:ascii="Times New Roman;Times;serif" w:hAnsi="Times New Roman;Times;serif"/>
                <w:sz w:val="22"/>
              </w:rPr>
            </w:pPr>
            <w:r>
              <w:rPr>
                <w:rFonts w:ascii="Times New Roman;Times;serif" w:hAnsi="Times New Roman;Times;serif"/>
                <w:sz w:val="22"/>
              </w:rPr>
              <w:t>Title:</w:t>
            </w:r>
            <w:r>
              <w:rPr>
                <w:rFonts w:ascii="Times New Roman;Times;serif" w:hAnsi="Times New Roman;Times;serif"/>
                <w:sz w:val="22"/>
                <w:u w:val="single"/>
              </w:rPr>
              <w:t>​ ​​ ​​ ​​ ​​ ​</w:t>
            </w:r>
          </w:p>
        </w:tc>
        <w:tc>
          <w:tcPr>
            <w:tcW w:w="1005" w:type="dxa"/>
            <w:gridSpan w:val="3"/>
            <w:tcBorders/>
            <w:vAlign w:val="center"/>
          </w:tcPr>
          <w:p>
            <w:pPr>
              <w:pStyle w:val="TableContents"/>
              <w:bidi w:val="0"/>
              <w:spacing w:before="0" w:after="240"/>
              <w:ind w:left="0" w:right="0" w:hanging="0"/>
              <w:jc w:val="left"/>
              <w:rPr/>
            </w:pPr>
            <w:r>
              <w:rPr/>
              <w:t>​</w:t>
            </w:r>
          </w:p>
          <w:p>
            <w:pPr>
              <w:pStyle w:val="TableContents"/>
              <w:bidi w:val="0"/>
              <w:spacing w:before="0" w:after="240"/>
              <w:ind w:left="0" w:right="0" w:hanging="0"/>
              <w:jc w:val="left"/>
              <w:rPr/>
            </w:pPr>
            <w:r>
              <w:rPr/>
              <w:t>​</w:t>
            </w:r>
          </w:p>
          <w:p>
            <w:pPr>
              <w:pStyle w:val="TableContents"/>
              <w:bidi w:val="0"/>
              <w:spacing w:before="0" w:after="0"/>
              <w:ind w:left="0" w:right="0" w:hanging="0"/>
              <w:jc w:val="both"/>
              <w:rPr>
                <w:rFonts w:ascii="Times New Roman;Times;serif" w:hAnsi="Times New Roman;Times;serif"/>
                <w:sz w:val="22"/>
              </w:rPr>
            </w:pPr>
            <w:r>
              <w:rPr>
                <w:rFonts w:ascii="Times New Roman;Times;serif" w:hAnsi="Times New Roman;Times;serif"/>
                <w:sz w:val="22"/>
              </w:rPr>
              <w:t>Date:</w:t>
            </w:r>
            <w:r>
              <w:rPr>
                <w:rFonts w:ascii="Times New Roman;Times;serif" w:hAnsi="Times New Roman;Times;serif"/>
                <w:sz w:val="22"/>
                <w:u w:val="single"/>
              </w:rPr>
              <w:t>​ ​​ ​​ ​​ ​​ ​​ ​</w:t>
            </w:r>
          </w:p>
        </w:tc>
      </w:tr>
    </w:tbl>
    <w:p>
      <w:pPr>
        <w:pStyle w:val="TextBody"/>
        <w:bidi w:val="0"/>
        <w:spacing w:before="0" w:after="0"/>
        <w:ind w:left="0" w:right="0" w:hanging="0"/>
        <w:jc w:val="center"/>
        <w:rPr>
          <w:rFonts w:ascii="Times New Roman;Times;serif" w:hAnsi="Times New Roman;Times;serif"/>
          <w:smallCaps/>
          <w:sz w:val="22"/>
        </w:rPr>
      </w:pPr>
      <w:r>
        <w:rPr>
          <w:rFonts w:ascii="Times New Roman;Times;serif" w:hAnsi="Times New Roman;Times;serif"/>
          <w:smallCaps/>
          <w:sz w:val="22"/>
        </w:rPr>
        <w:t>Exhibit A-3</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2"/>
          <w:shd w:fill="FFFFFF" w:val="clear"/>
        </w:rPr>
      </w:pPr>
      <w:r>
        <w:rPr>
          <w:rFonts w:ascii="Times New Roman;Times;serif" w:hAnsi="Times New Roman;Times;serif"/>
          <w:b/>
          <w:i/>
          <w:sz w:val="22"/>
          <w:u w:val="single"/>
          <w:shd w:fill="FFFFFF" w:val="clear"/>
        </w:rPr>
        <w:t>IMPORTANT DEADLINE</w:t>
      </w:r>
      <w:r>
        <w:rPr>
          <w:rFonts w:ascii="Times New Roman;Times;serif" w:hAnsi="Times New Roman;Times;serif"/>
          <w:b/>
          <w:i/>
          <w:sz w:val="22"/>
          <w:shd w:fill="FFFFFF" w:val="clear"/>
        </w:rPr>
        <w:t xml:space="preserve">: Please remember that if you wish to make any election set forth on this Election Form, then the properly completed Election Form must be signed by you and returned ON OR BEFORE THE SUBMISSION DEADLINE to the Chief Financial Officer of the Company, with a copy to the Company’s counsel (or such other individual as the Company designates). </w:t>
      </w:r>
    </w:p>
    <w:p>
      <w:pPr>
        <w:pStyle w:val="TextBody"/>
        <w:bidi w:val="0"/>
        <w:spacing w:before="0" w:after="0"/>
        <w:ind w:left="0" w:right="0" w:hanging="0"/>
        <w:jc w:val="center"/>
        <w:rPr>
          <w:rFonts w:ascii="Times New Roman;Times;serif" w:hAnsi="Times New Roman;Times;serif"/>
          <w:smallCaps/>
          <w:sz w:val="22"/>
        </w:rPr>
      </w:pPr>
      <w:r>
        <w:rPr>
          <w:rFonts w:ascii="Times New Roman;Times;serif" w:hAnsi="Times New Roman;Times;serif"/>
          <w:smallCaps/>
          <w:sz w:val="22"/>
        </w:rPr>
        <w:t>Exhibit A-4</w:t>
      </w:r>
    </w:p>
    <w:p>
      <w:pPr>
        <w:pStyle w:val="HorizontalLine"/>
        <w:pBdr>
          <w:bottom w:val="double" w:sz="2" w:space="0" w:color="808080"/>
        </w:pBdr>
        <w:bidi w:val="0"/>
        <w:spacing w:before="0" w:after="283"/>
        <w:jc w:val="left"/>
        <w:rPr/>
      </w:pPr>
      <w:r>
        <w:rPr/>
      </w:r>
    </w:p>
    <w:p>
      <w:pPr>
        <w:pStyle w:val="TextBody"/>
        <w:bidi w:val="0"/>
        <w:spacing w:lineRule="auto" w:line="285" w:before="0" w:after="240"/>
        <w:ind w:left="0" w:right="0" w:hanging="0"/>
        <w:jc w:val="right"/>
        <w:rPr>
          <w:rFonts w:ascii="Times New Roman;Times;serif" w:hAnsi="Times New Roman;Times;serif"/>
          <w:sz w:val="20"/>
        </w:rPr>
      </w:pPr>
      <w:bookmarkStart w:id="837" w:name="mtva-20260630xex31d1.htm"/>
      <w:bookmarkStart w:id="838" w:name="ksmtva20260630xex31d1"/>
      <w:bookmarkEnd w:id="837"/>
      <w:bookmarkEnd w:id="838"/>
      <w:r>
        <w:rPr>
          <w:rFonts w:ascii="Times New Roman;Times;serif" w:hAnsi="Times New Roman;Times;serif"/>
          <w:sz w:val="20"/>
        </w:rPr>
        <w:t xml:space="preserve">Exhibit 31.1 </w:t>
      </w:r>
      <w:r>
        <w:br w:type="page"/>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Certification of Chief Executive Officer</w:t>
      </w:r>
    </w:p>
    <w:p>
      <w:pPr>
        <w:pStyle w:val="TextBody"/>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pursuant to Rule 13a-14(a) or Rule 15d-14(a)</w:t>
      </w:r>
    </w:p>
    <w:p>
      <w:pPr>
        <w:pStyle w:val="TextBody"/>
        <w:bidi w:val="0"/>
        <w:spacing w:lineRule="auto" w:line="285" w:before="0" w:after="0"/>
        <w:ind w:left="0" w:right="0" w:hanging="0"/>
        <w:jc w:val="center"/>
        <w:rPr/>
      </w:pPr>
      <w:r>
        <w:rPr/>
        <w:t>​</w:t>
      </w:r>
    </w:p>
    <w:p>
      <w:pPr>
        <w:pStyle w:val="TextBody"/>
        <w:bidi w:val="0"/>
        <w:spacing w:lineRule="auto" w:line="285" w:before="0" w:after="0"/>
        <w:ind w:left="0" w:right="0" w:hanging="0"/>
        <w:jc w:val="both"/>
        <w:rPr>
          <w:rFonts w:ascii="Times New Roman;Times;serif" w:hAnsi="Times New Roman;Times;serif"/>
          <w:sz w:val="20"/>
        </w:rPr>
      </w:pPr>
      <w:r>
        <w:rPr>
          <w:rFonts w:ascii="Times New Roman;Times;serif" w:hAnsi="Times New Roman;Times;serif"/>
          <w:sz w:val="20"/>
        </w:rPr>
        <w:t>I, Hyung Heon Kim, certify that:</w:t>
      </w:r>
    </w:p>
    <w:p>
      <w:pPr>
        <w:pStyle w:val="TextBody"/>
        <w:bidi w:val="0"/>
        <w:spacing w:lineRule="auto" w:line="285" w:before="8" w:after="0"/>
        <w:ind w:left="0" w:right="0" w:hanging="0"/>
        <w:jc w:val="both"/>
        <w:rPr/>
      </w:pPr>
      <w:r>
        <w:rPr/>
        <w:t>​</w:t>
      </w:r>
    </w:p>
    <w:tbl>
      <w:tblPr>
        <w:tblW w:w="9370" w:type="dxa"/>
        <w:jc w:val="left"/>
        <w:tblInd w:w="0" w:type="dxa"/>
        <w:tblLayout w:type="fixed"/>
        <w:tblCellMar>
          <w:top w:w="0" w:type="dxa"/>
          <w:left w:w="0" w:type="dxa"/>
          <w:bottom w:w="0" w:type="dxa"/>
          <w:right w:w="0" w:type="dxa"/>
        </w:tblCellMar>
      </w:tblPr>
      <w:tblGrid>
        <w:gridCol w:w="245"/>
        <w:gridCol w:w="9125"/>
      </w:tblGrid>
      <w:tr>
        <w:trPr/>
        <w:tc>
          <w:tcPr>
            <w:tcW w:w="2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1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have reviewed this quarterly report on Form 10-Q for the quarterly period ended June 30, 2026 of MetaVia Inc.;</w:t>
            </w:r>
          </w:p>
        </w:tc>
      </w:tr>
    </w:tbl>
    <w:p>
      <w:pPr>
        <w:pStyle w:val="TextBody"/>
        <w:bidi w:val="0"/>
        <w:spacing w:lineRule="auto" w:line="285" w:before="8" w:after="0"/>
        <w:ind w:left="36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08"/>
        <w:gridCol w:w="9997"/>
      </w:tblGrid>
      <w:tr>
        <w:trPr/>
        <w:tc>
          <w:tcPr>
            <w:tcW w:w="20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9997"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Based on my knowledge, this report does not contain any untrue statement of a material fact or omit</w:t>
            </w:r>
            <w:r>
              <w:rPr>
                <w:caps w:val="false"/>
                <w:smallCaps w:val="false"/>
                <w:spacing w:val="-28"/>
              </w:rPr>
              <w:t xml:space="preserve"> </w:t>
            </w:r>
            <w:r>
              <w:rPr>
                <w:rFonts w:ascii="Times New Roman;Times;serif" w:hAnsi="Times New Roman;Times;serif"/>
                <w:b w:val="false"/>
                <w:i w:val="false"/>
                <w:caps w:val="false"/>
                <w:smallCaps w:val="false"/>
                <w:sz w:val="20"/>
              </w:rPr>
              <w:t>to state a material fact necessary to make the statements made, in light of the circumstances under which such statements were made, not misleading with respect to the period covered by this</w:t>
            </w:r>
            <w:r>
              <w:rPr>
                <w:caps w:val="false"/>
                <w:smallCaps w:val="false"/>
                <w:spacing w:val="-28"/>
              </w:rPr>
              <w:t xml:space="preserve"> </w:t>
            </w:r>
            <w:r>
              <w:rPr>
                <w:rFonts w:ascii="Times New Roman;Times;serif" w:hAnsi="Times New Roman;Times;serif"/>
                <w:b w:val="false"/>
                <w:i w:val="false"/>
                <w:caps w:val="false"/>
                <w:smallCaps w:val="false"/>
                <w:sz w:val="20"/>
              </w:rPr>
              <w:t>report;</w:t>
            </w:r>
          </w:p>
        </w:tc>
      </w:tr>
    </w:tbl>
    <w:p>
      <w:pPr>
        <w:pStyle w:val="TextBody"/>
        <w:bidi w:val="0"/>
        <w:spacing w:lineRule="auto" w:line="285" w:before="0" w:after="0"/>
        <w:ind w:left="72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10"/>
        <w:gridCol w:w="9995"/>
      </w:tblGrid>
      <w:tr>
        <w:trPr/>
        <w:tc>
          <w:tcPr>
            <w:tcW w:w="2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9995"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Based on my knowledge, the financial statements, and other financial information included in this report, fairly</w:t>
            </w:r>
            <w:r>
              <w:rPr>
                <w:caps w:val="false"/>
                <w:smallCaps w:val="false"/>
                <w:spacing w:val="-6"/>
              </w:rPr>
              <w:t xml:space="preserve"> </w:t>
            </w:r>
            <w:r>
              <w:rPr>
                <w:rFonts w:ascii="Times New Roman;Times;serif" w:hAnsi="Times New Roman;Times;serif"/>
                <w:b w:val="false"/>
                <w:i w:val="false"/>
                <w:caps w:val="false"/>
                <w:smallCaps w:val="false"/>
                <w:sz w:val="20"/>
              </w:rPr>
              <w:t>present</w:t>
            </w:r>
            <w:r>
              <w:rPr>
                <w:caps w:val="false"/>
                <w:smallCaps w:val="false"/>
                <w:spacing w:val="-3"/>
              </w:rPr>
              <w:t xml:space="preserve"> </w:t>
            </w:r>
            <w:r>
              <w:rPr>
                <w:rFonts w:ascii="Times New Roman;Times;serif" w:hAnsi="Times New Roman;Times;serif"/>
                <w:b w:val="false"/>
                <w:i w:val="false"/>
                <w:caps w:val="false"/>
                <w:smallCaps w:val="false"/>
                <w:sz w:val="20"/>
              </w:rPr>
              <w:t>in</w:t>
            </w:r>
            <w:r>
              <w:rPr>
                <w:caps w:val="false"/>
                <w:smallCaps w:val="false"/>
                <w:spacing w:val="-3"/>
              </w:rPr>
              <w:t xml:space="preserve"> </w:t>
            </w:r>
            <w:r>
              <w:rPr>
                <w:rFonts w:ascii="Times New Roman;Times;serif" w:hAnsi="Times New Roman;Times;serif"/>
                <w:b w:val="false"/>
                <w:i w:val="false"/>
                <w:caps w:val="false"/>
                <w:smallCaps w:val="false"/>
                <w:sz w:val="20"/>
              </w:rPr>
              <w:t>all</w:t>
            </w:r>
            <w:r>
              <w:rPr>
                <w:caps w:val="false"/>
                <w:smallCaps w:val="false"/>
                <w:spacing w:val="-1"/>
              </w:rPr>
              <w:t xml:space="preserve"> </w:t>
            </w:r>
            <w:r>
              <w:rPr>
                <w:rFonts w:ascii="Times New Roman;Times;serif" w:hAnsi="Times New Roman;Times;serif"/>
                <w:b w:val="false"/>
                <w:i w:val="false"/>
                <w:caps w:val="false"/>
                <w:smallCaps w:val="false"/>
                <w:sz w:val="20"/>
              </w:rPr>
              <w:t>material</w:t>
            </w:r>
            <w:r>
              <w:rPr>
                <w:caps w:val="false"/>
                <w:smallCaps w:val="false"/>
                <w:spacing w:val="-2"/>
              </w:rPr>
              <w:t xml:space="preserve"> </w:t>
            </w:r>
            <w:r>
              <w:rPr>
                <w:rFonts w:ascii="Times New Roman;Times;serif" w:hAnsi="Times New Roman;Times;serif"/>
                <w:b w:val="false"/>
                <w:i w:val="false"/>
                <w:caps w:val="false"/>
                <w:smallCaps w:val="false"/>
                <w:sz w:val="20"/>
              </w:rPr>
              <w:t>respects</w:t>
            </w:r>
            <w:r>
              <w:rPr>
                <w:caps w:val="false"/>
                <w:smallCaps w:val="false"/>
                <w:spacing w:val="-3"/>
              </w:rPr>
              <w:t xml:space="preserve"> </w:t>
            </w:r>
            <w:r>
              <w:rPr>
                <w:rFonts w:ascii="Times New Roman;Times;serif" w:hAnsi="Times New Roman;Times;serif"/>
                <w:b w:val="false"/>
                <w:i w:val="false"/>
                <w:caps w:val="false"/>
                <w:smallCaps w:val="false"/>
                <w:sz w:val="20"/>
              </w:rPr>
              <w:t>the financial</w:t>
            </w:r>
            <w:r>
              <w:rPr>
                <w:caps w:val="false"/>
                <w:smallCaps w:val="false"/>
                <w:spacing w:val="-2"/>
              </w:rPr>
              <w:t xml:space="preserve"> </w:t>
            </w:r>
            <w:r>
              <w:rPr>
                <w:rFonts w:ascii="Times New Roman;Times;serif" w:hAnsi="Times New Roman;Times;serif"/>
                <w:b w:val="false"/>
                <w:i w:val="false"/>
                <w:caps w:val="false"/>
                <w:smallCaps w:val="false"/>
                <w:sz w:val="20"/>
              </w:rPr>
              <w:t>condition, results</w:t>
            </w:r>
            <w:r>
              <w:rPr>
                <w:caps w:val="false"/>
                <w:smallCaps w:val="false"/>
                <w:spacing w:val="-3"/>
              </w:rPr>
              <w:t xml:space="preserve"> </w:t>
            </w:r>
            <w:r>
              <w:rPr>
                <w:rFonts w:ascii="Times New Roman;Times;serif" w:hAnsi="Times New Roman;Times;serif"/>
                <w:b w:val="false"/>
                <w:i w:val="false"/>
                <w:caps w:val="false"/>
                <w:smallCaps w:val="false"/>
                <w:sz w:val="20"/>
              </w:rPr>
              <w:t>of</w:t>
            </w:r>
            <w:r>
              <w:rPr>
                <w:caps w:val="false"/>
                <w:smallCaps w:val="false"/>
                <w:spacing w:val="-4"/>
              </w:rPr>
              <w:t xml:space="preserve"> </w:t>
            </w:r>
            <w:r>
              <w:rPr>
                <w:rFonts w:ascii="Times New Roman;Times;serif" w:hAnsi="Times New Roman;Times;serif"/>
                <w:b w:val="false"/>
                <w:i w:val="false"/>
                <w:caps w:val="false"/>
                <w:smallCaps w:val="false"/>
                <w:sz w:val="20"/>
              </w:rPr>
              <w:t>operations</w:t>
            </w:r>
            <w:r>
              <w:rPr>
                <w:caps w:val="false"/>
                <w:smallCaps w:val="false"/>
                <w:spacing w:val="-3"/>
              </w:rPr>
              <w:t xml:space="preserve"> </w:t>
            </w:r>
            <w:r>
              <w:rPr>
                <w:rFonts w:ascii="Times New Roman;Times;serif" w:hAnsi="Times New Roman;Times;serif"/>
                <w:b w:val="false"/>
                <w:i w:val="false"/>
                <w:caps w:val="false"/>
                <w:smallCaps w:val="false"/>
                <w:sz w:val="20"/>
              </w:rPr>
              <w:t>and</w:t>
            </w:r>
            <w:r>
              <w:rPr>
                <w:caps w:val="false"/>
                <w:smallCaps w:val="false"/>
                <w:spacing w:val="-2"/>
              </w:rPr>
              <w:t xml:space="preserve"> </w:t>
            </w:r>
            <w:r>
              <w:rPr>
                <w:rFonts w:ascii="Times New Roman;Times;serif" w:hAnsi="Times New Roman;Times;serif"/>
                <w:b w:val="false"/>
                <w:i w:val="false"/>
                <w:caps w:val="false"/>
                <w:smallCaps w:val="false"/>
                <w:sz w:val="20"/>
              </w:rPr>
              <w:t>cash</w:t>
            </w:r>
            <w:r>
              <w:rPr>
                <w:caps w:val="false"/>
                <w:smallCaps w:val="false"/>
                <w:spacing w:val="-2"/>
              </w:rPr>
              <w:t xml:space="preserve"> </w:t>
            </w:r>
            <w:r>
              <w:rPr>
                <w:rFonts w:ascii="Times New Roman;Times;serif" w:hAnsi="Times New Roman;Times;serif"/>
                <w:b w:val="false"/>
                <w:i w:val="false"/>
                <w:caps w:val="false"/>
                <w:smallCaps w:val="false"/>
                <w:sz w:val="20"/>
              </w:rPr>
              <w:t>flows</w:t>
            </w:r>
            <w:r>
              <w:rPr>
                <w:caps w:val="false"/>
                <w:smallCaps w:val="false"/>
                <w:spacing w:val="-3"/>
              </w:rPr>
              <w:t xml:space="preserve"> </w:t>
            </w:r>
            <w:r>
              <w:rPr>
                <w:rFonts w:ascii="Times New Roman;Times;serif" w:hAnsi="Times New Roman;Times;serif"/>
                <w:b w:val="false"/>
                <w:i w:val="false"/>
                <w:caps w:val="false"/>
                <w:smallCaps w:val="false"/>
                <w:sz w:val="20"/>
              </w:rPr>
              <w:t>of</w:t>
            </w:r>
            <w:r>
              <w:rPr>
                <w:caps w:val="false"/>
                <w:smallCaps w:val="false"/>
                <w:spacing w:val="-4"/>
              </w:rPr>
              <w:t xml:space="preserve"> </w:t>
            </w:r>
            <w:r>
              <w:rPr>
                <w:rFonts w:ascii="Times New Roman;Times;serif" w:hAnsi="Times New Roman;Times;serif"/>
                <w:b w:val="false"/>
                <w:i w:val="false"/>
                <w:caps w:val="false"/>
                <w:smallCaps w:val="false"/>
                <w:sz w:val="20"/>
              </w:rPr>
              <w:t>the</w:t>
            </w:r>
            <w:r>
              <w:rPr>
                <w:caps w:val="false"/>
                <w:smallCaps w:val="false"/>
                <w:spacing w:val="-2"/>
              </w:rPr>
              <w:t xml:space="preserve"> </w:t>
            </w:r>
            <w:r>
              <w:rPr>
                <w:rFonts w:ascii="Times New Roman;Times;serif" w:hAnsi="Times New Roman;Times;serif"/>
                <w:b w:val="false"/>
                <w:i w:val="false"/>
                <w:caps w:val="false"/>
                <w:smallCaps w:val="false"/>
                <w:sz w:val="20"/>
              </w:rPr>
              <w:t>registrant</w:t>
            </w:r>
            <w:r>
              <w:rPr>
                <w:caps w:val="false"/>
                <w:smallCaps w:val="false"/>
                <w:spacing w:val="-3"/>
              </w:rPr>
              <w:t xml:space="preserve"> </w:t>
            </w:r>
            <w:r>
              <w:rPr>
                <w:rFonts w:ascii="Times New Roman;Times;serif" w:hAnsi="Times New Roman;Times;serif"/>
                <w:b w:val="false"/>
                <w:i w:val="false"/>
                <w:caps w:val="false"/>
                <w:smallCaps w:val="false"/>
                <w:sz w:val="20"/>
              </w:rPr>
              <w:t>as of, and for, the periods presented in this report;</w:t>
            </w:r>
          </w:p>
        </w:tc>
      </w:tr>
    </w:tbl>
    <w:p>
      <w:pPr>
        <w:pStyle w:val="TextBody"/>
        <w:bidi w:val="0"/>
        <w:spacing w:lineRule="auto" w:line="285" w:before="0" w:after="0"/>
        <w:ind w:left="72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06"/>
        <w:gridCol w:w="9999"/>
      </w:tblGrid>
      <w:tr>
        <w:trPr/>
        <w:tc>
          <w:tcPr>
            <w:tcW w:w="20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w:t>
            </w:r>
          </w:p>
        </w:tc>
        <w:tc>
          <w:tcPr>
            <w:tcW w:w="9999"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The registrant’s other certifying officer(s) and I</w:t>
            </w:r>
            <w:r>
              <w:rPr>
                <w:caps w:val="false"/>
                <w:smallCaps w:val="false"/>
                <w:spacing w:val="-3"/>
              </w:rPr>
              <w:t xml:space="preserve"> </w:t>
            </w:r>
            <w:r>
              <w:rPr>
                <w:rFonts w:ascii="Times New Roman;Times;serif" w:hAnsi="Times New Roman;Times;serif"/>
                <w:b w:val="false"/>
                <w:i w:val="false"/>
                <w:caps w:val="false"/>
                <w:smallCaps w:val="false"/>
                <w:sz w:val="20"/>
              </w:rPr>
              <w:t>are</w:t>
            </w:r>
            <w:r>
              <w:rPr>
                <w:caps w:val="false"/>
                <w:smallCaps w:val="false"/>
                <w:spacing w:val="-3"/>
              </w:rPr>
              <w:t xml:space="preserve"> </w:t>
            </w:r>
            <w:r>
              <w:rPr>
                <w:rFonts w:ascii="Times New Roman;Times;serif" w:hAnsi="Times New Roman;Times;serif"/>
                <w:b w:val="false"/>
                <w:i w:val="false"/>
                <w:caps w:val="false"/>
                <w:smallCaps w:val="false"/>
                <w:sz w:val="20"/>
              </w:rPr>
              <w:t>responsible</w:t>
            </w:r>
            <w:r>
              <w:rPr>
                <w:caps w:val="false"/>
                <w:smallCaps w:val="false"/>
                <w:spacing w:val="-3"/>
              </w:rPr>
              <w:t xml:space="preserve"> </w:t>
            </w:r>
            <w:r>
              <w:rPr>
                <w:rFonts w:ascii="Times New Roman;Times;serif" w:hAnsi="Times New Roman;Times;serif"/>
                <w:b w:val="false"/>
                <w:i w:val="false"/>
                <w:caps w:val="false"/>
                <w:smallCaps w:val="false"/>
                <w:sz w:val="20"/>
              </w:rPr>
              <w:t>for</w:t>
            </w:r>
            <w:r>
              <w:rPr>
                <w:caps w:val="false"/>
                <w:smallCaps w:val="false"/>
                <w:spacing w:val="-3"/>
              </w:rPr>
              <w:t xml:space="preserve"> </w:t>
            </w:r>
            <w:r>
              <w:rPr>
                <w:rFonts w:ascii="Times New Roman;Times;serif" w:hAnsi="Times New Roman;Times;serif"/>
                <w:b w:val="false"/>
                <w:i w:val="false"/>
                <w:caps w:val="false"/>
                <w:smallCaps w:val="false"/>
                <w:sz w:val="20"/>
              </w:rPr>
              <w:t>establishing</w:t>
            </w:r>
            <w:r>
              <w:rPr>
                <w:caps w:val="false"/>
                <w:smallCaps w:val="false"/>
                <w:spacing w:val="-4"/>
              </w:rPr>
              <w:t xml:space="preserve"> </w:t>
            </w:r>
            <w:r>
              <w:rPr>
                <w:rFonts w:ascii="Times New Roman;Times;serif" w:hAnsi="Times New Roman;Times;serif"/>
                <w:b w:val="false"/>
                <w:i w:val="false"/>
                <w:caps w:val="false"/>
                <w:smallCaps w:val="false"/>
                <w:sz w:val="20"/>
              </w:rPr>
              <w:t>and</w:t>
            </w:r>
            <w:r>
              <w:rPr>
                <w:caps w:val="false"/>
                <w:smallCaps w:val="false"/>
                <w:spacing w:val="-1"/>
              </w:rPr>
              <w:t xml:space="preserve"> </w:t>
            </w:r>
            <w:r>
              <w:rPr>
                <w:rFonts w:ascii="Times New Roman;Times;serif" w:hAnsi="Times New Roman;Times;serif"/>
                <w:b w:val="false"/>
                <w:i w:val="false"/>
                <w:caps w:val="false"/>
                <w:smallCaps w:val="false"/>
                <w:sz w:val="20"/>
              </w:rPr>
              <w:t>maintaining</w:t>
            </w:r>
            <w:r>
              <w:rPr>
                <w:caps w:val="false"/>
                <w:smallCaps w:val="false"/>
                <w:spacing w:val="-4"/>
              </w:rPr>
              <w:t xml:space="preserve"> </w:t>
            </w:r>
            <w:r>
              <w:rPr>
                <w:rFonts w:ascii="Times New Roman;Times;serif" w:hAnsi="Times New Roman;Times;serif"/>
                <w:b w:val="false"/>
                <w:i w:val="false"/>
                <w:caps w:val="false"/>
                <w:smallCaps w:val="false"/>
                <w:sz w:val="20"/>
              </w:rPr>
              <w:t>disclosure controls and procedures (as defined in Exchange Act Rules 13a-15(e) and 15d-15(e)) and internal control over financial reporting (as defined in Exchange Act Rules 13a-15(f) and 15d-15(f)) for the registrant and have:</w:t>
            </w:r>
          </w:p>
        </w:tc>
      </w:tr>
    </w:tbl>
    <w:p>
      <w:pPr>
        <w:pStyle w:val="TextBody"/>
        <w:bidi w:val="0"/>
        <w:spacing w:lineRule="auto" w:line="285" w:before="0" w:after="0"/>
        <w:ind w:left="72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189"/>
        <w:gridCol w:w="9993"/>
      </w:tblGrid>
      <w:tr>
        <w:trPr/>
        <w:tc>
          <w:tcPr>
            <w:tcW w:w="23"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9993"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w:t>
            </w:r>
            <w:r>
              <w:rPr>
                <w:caps w:val="false"/>
                <w:smallCaps w:val="false"/>
                <w:spacing w:val="-15"/>
              </w:rPr>
              <w:t xml:space="preserve"> </w:t>
            </w:r>
            <w:r>
              <w:rPr>
                <w:rFonts w:ascii="Times New Roman;Times;serif" w:hAnsi="Times New Roman;Times;serif"/>
                <w:b w:val="false"/>
                <w:i w:val="false"/>
                <w:caps w:val="false"/>
                <w:smallCaps w:val="false"/>
                <w:sz w:val="20"/>
              </w:rPr>
              <w:t>prepared;</w:t>
            </w:r>
          </w:p>
        </w:tc>
      </w:tr>
    </w:tbl>
    <w:p>
      <w:pPr>
        <w:pStyle w:val="TextBody"/>
        <w:bidi w:val="0"/>
        <w:spacing w:lineRule="auto" w:line="285" w:before="11" w:after="0"/>
        <w:ind w:left="72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204"/>
        <w:gridCol w:w="9978"/>
      </w:tblGrid>
      <w:tr>
        <w:trPr/>
        <w:tc>
          <w:tcPr>
            <w:tcW w:w="23"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9978"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designed such internal control over financial reporting, or caused such internal control over financial</w:t>
            </w:r>
            <w:r>
              <w:rPr>
                <w:caps w:val="false"/>
                <w:smallCaps w:val="false"/>
                <w:spacing w:val="-4"/>
              </w:rPr>
              <w:t xml:space="preserve"> </w:t>
            </w:r>
            <w:r>
              <w:rPr>
                <w:rFonts w:ascii="Times New Roman;Times;serif" w:hAnsi="Times New Roman;Times;serif"/>
                <w:b w:val="false"/>
                <w:i w:val="false"/>
                <w:caps w:val="false"/>
                <w:smallCaps w:val="false"/>
                <w:sz w:val="20"/>
              </w:rPr>
              <w:t>reporting</w:t>
            </w:r>
            <w:r>
              <w:rPr>
                <w:caps w:val="false"/>
                <w:smallCaps w:val="false"/>
                <w:spacing w:val="-4"/>
              </w:rPr>
              <w:t xml:space="preserve"> </w:t>
            </w:r>
            <w:r>
              <w:rPr>
                <w:rFonts w:ascii="Times New Roman;Times;serif" w:hAnsi="Times New Roman;Times;serif"/>
                <w:b w:val="false"/>
                <w:i w:val="false"/>
                <w:caps w:val="false"/>
                <w:smallCaps w:val="false"/>
                <w:sz w:val="20"/>
              </w:rPr>
              <w:t>to</w:t>
            </w:r>
            <w:r>
              <w:rPr>
                <w:caps w:val="false"/>
                <w:smallCaps w:val="false"/>
                <w:spacing w:val="-2"/>
              </w:rPr>
              <w:t xml:space="preserve"> </w:t>
            </w:r>
            <w:r>
              <w:rPr>
                <w:rFonts w:ascii="Times New Roman;Times;serif" w:hAnsi="Times New Roman;Times;serif"/>
                <w:b w:val="false"/>
                <w:i w:val="false"/>
                <w:caps w:val="false"/>
                <w:smallCaps w:val="false"/>
                <w:sz w:val="20"/>
              </w:rPr>
              <w:t>be</w:t>
            </w:r>
            <w:r>
              <w:rPr>
                <w:caps w:val="false"/>
                <w:smallCaps w:val="false"/>
                <w:spacing w:val="-3"/>
              </w:rPr>
              <w:t xml:space="preserve"> </w:t>
            </w:r>
            <w:r>
              <w:rPr>
                <w:rFonts w:ascii="Times New Roman;Times;serif" w:hAnsi="Times New Roman;Times;serif"/>
                <w:b w:val="false"/>
                <w:i w:val="false"/>
                <w:caps w:val="false"/>
                <w:smallCaps w:val="false"/>
                <w:sz w:val="20"/>
              </w:rPr>
              <w:t>designed</w:t>
            </w:r>
            <w:r>
              <w:rPr>
                <w:caps w:val="false"/>
                <w:smallCaps w:val="false"/>
                <w:spacing w:val="-2"/>
              </w:rPr>
              <w:t xml:space="preserve"> </w:t>
            </w:r>
            <w:r>
              <w:rPr>
                <w:rFonts w:ascii="Times New Roman;Times;serif" w:hAnsi="Times New Roman;Times;serif"/>
                <w:b w:val="false"/>
                <w:i w:val="false"/>
                <w:caps w:val="false"/>
                <w:smallCaps w:val="false"/>
                <w:sz w:val="20"/>
              </w:rPr>
              <w:t>under</w:t>
            </w:r>
            <w:r>
              <w:rPr>
                <w:caps w:val="false"/>
                <w:smallCaps w:val="false"/>
                <w:spacing w:val="-2"/>
              </w:rPr>
              <w:t xml:space="preserve"> </w:t>
            </w:r>
            <w:r>
              <w:rPr>
                <w:rFonts w:ascii="Times New Roman;Times;serif" w:hAnsi="Times New Roman;Times;serif"/>
                <w:b w:val="false"/>
                <w:i w:val="false"/>
                <w:caps w:val="false"/>
                <w:smallCaps w:val="false"/>
                <w:sz w:val="20"/>
              </w:rPr>
              <w:t>our</w:t>
            </w:r>
            <w:r>
              <w:rPr>
                <w:caps w:val="false"/>
                <w:smallCaps w:val="false"/>
                <w:spacing w:val="-3"/>
              </w:rPr>
              <w:t xml:space="preserve"> </w:t>
            </w:r>
            <w:r>
              <w:rPr>
                <w:rFonts w:ascii="Times New Roman;Times;serif" w:hAnsi="Times New Roman;Times;serif"/>
                <w:b w:val="false"/>
                <w:i w:val="false"/>
                <w:caps w:val="false"/>
                <w:smallCaps w:val="false"/>
                <w:sz w:val="20"/>
              </w:rPr>
              <w:t>supervision,</w:t>
            </w:r>
            <w:r>
              <w:rPr>
                <w:caps w:val="false"/>
                <w:smallCaps w:val="false"/>
                <w:spacing w:val="-3"/>
              </w:rPr>
              <w:t xml:space="preserve"> </w:t>
            </w:r>
            <w:r>
              <w:rPr>
                <w:rFonts w:ascii="Times New Roman;Times;serif" w:hAnsi="Times New Roman;Times;serif"/>
                <w:b w:val="false"/>
                <w:i w:val="false"/>
                <w:caps w:val="false"/>
                <w:smallCaps w:val="false"/>
                <w:sz w:val="20"/>
              </w:rPr>
              <w:t>to</w:t>
            </w:r>
            <w:r>
              <w:rPr>
                <w:caps w:val="false"/>
                <w:smallCaps w:val="false"/>
                <w:spacing w:val="-2"/>
              </w:rPr>
              <w:t xml:space="preserve"> </w:t>
            </w:r>
            <w:r>
              <w:rPr>
                <w:rFonts w:ascii="Times New Roman;Times;serif" w:hAnsi="Times New Roman;Times;serif"/>
                <w:b w:val="false"/>
                <w:i w:val="false"/>
                <w:caps w:val="false"/>
                <w:smallCaps w:val="false"/>
                <w:sz w:val="20"/>
              </w:rPr>
              <w:t>provide</w:t>
            </w:r>
            <w:r>
              <w:rPr>
                <w:caps w:val="false"/>
                <w:smallCaps w:val="false"/>
                <w:spacing w:val="-3"/>
              </w:rPr>
              <w:t xml:space="preserve"> </w:t>
            </w:r>
            <w:r>
              <w:rPr>
                <w:rFonts w:ascii="Times New Roman;Times;serif" w:hAnsi="Times New Roman;Times;serif"/>
                <w:b w:val="false"/>
                <w:i w:val="false"/>
                <w:caps w:val="false"/>
                <w:smallCaps w:val="false"/>
                <w:sz w:val="20"/>
              </w:rPr>
              <w:t>reasonable</w:t>
            </w:r>
            <w:r>
              <w:rPr>
                <w:caps w:val="false"/>
                <w:smallCaps w:val="false"/>
                <w:spacing w:val="-3"/>
              </w:rPr>
              <w:t xml:space="preserve"> </w:t>
            </w:r>
            <w:r>
              <w:rPr>
                <w:rFonts w:ascii="Times New Roman;Times;serif" w:hAnsi="Times New Roman;Times;serif"/>
                <w:b w:val="false"/>
                <w:i w:val="false"/>
                <w:caps w:val="false"/>
                <w:smallCaps w:val="false"/>
                <w:sz w:val="20"/>
              </w:rPr>
              <w:t>assurance regarding</w:t>
            </w:r>
            <w:r>
              <w:rPr>
                <w:caps w:val="false"/>
                <w:smallCaps w:val="false"/>
                <w:spacing w:val="-4"/>
              </w:rPr>
              <w:t xml:space="preserve"> </w:t>
            </w:r>
            <w:r>
              <w:rPr>
                <w:rFonts w:ascii="Times New Roman;Times;serif" w:hAnsi="Times New Roman;Times;serif"/>
                <w:b w:val="false"/>
                <w:i w:val="false"/>
                <w:caps w:val="false"/>
                <w:smallCaps w:val="false"/>
                <w:sz w:val="20"/>
              </w:rPr>
              <w:t>the</w:t>
            </w:r>
            <w:r>
              <w:rPr>
                <w:caps w:val="false"/>
                <w:smallCaps w:val="false"/>
                <w:spacing w:val="-3"/>
              </w:rPr>
              <w:t xml:space="preserve"> </w:t>
            </w:r>
            <w:r>
              <w:rPr>
                <w:rFonts w:ascii="Times New Roman;Times;serif" w:hAnsi="Times New Roman;Times;serif"/>
                <w:b w:val="false"/>
                <w:i w:val="false"/>
                <w:caps w:val="false"/>
                <w:smallCaps w:val="false"/>
                <w:sz w:val="20"/>
              </w:rPr>
              <w:t>reliability</w:t>
            </w:r>
            <w:r>
              <w:rPr>
                <w:caps w:val="false"/>
                <w:smallCaps w:val="false"/>
                <w:spacing w:val="-4"/>
              </w:rPr>
              <w:t xml:space="preserve"> </w:t>
            </w:r>
            <w:r>
              <w:rPr>
                <w:rFonts w:ascii="Times New Roman;Times;serif" w:hAnsi="Times New Roman;Times;serif"/>
                <w:b w:val="false"/>
                <w:i w:val="false"/>
                <w:caps w:val="false"/>
                <w:smallCaps w:val="false"/>
                <w:sz w:val="20"/>
              </w:rPr>
              <w:t>of financial reporting and the preparation of financial statements for external purposes in accordance with generally accepted accounting</w:t>
            </w:r>
            <w:r>
              <w:rPr>
                <w:caps w:val="false"/>
                <w:smallCaps w:val="false"/>
                <w:spacing w:val="-11"/>
              </w:rPr>
              <w:t xml:space="preserve"> </w:t>
            </w:r>
            <w:r>
              <w:rPr>
                <w:rFonts w:ascii="Times New Roman;Times;serif" w:hAnsi="Times New Roman;Times;serif"/>
                <w:b w:val="false"/>
                <w:i w:val="false"/>
                <w:caps w:val="false"/>
                <w:smallCaps w:val="false"/>
                <w:sz w:val="20"/>
              </w:rPr>
              <w:t>principles;</w:t>
            </w:r>
          </w:p>
        </w:tc>
      </w:tr>
    </w:tbl>
    <w:p>
      <w:pPr>
        <w:pStyle w:val="TextBody"/>
        <w:bidi w:val="0"/>
        <w:spacing w:lineRule="auto" w:line="285" w:before="0" w:after="0"/>
        <w:ind w:left="72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195"/>
        <w:gridCol w:w="9987"/>
      </w:tblGrid>
      <w:tr>
        <w:trPr/>
        <w:tc>
          <w:tcPr>
            <w:tcW w:w="23"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w:t>
            </w:r>
          </w:p>
        </w:tc>
        <w:tc>
          <w:tcPr>
            <w:tcW w:w="9987"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w:t>
            </w:r>
            <w:r>
              <w:rPr>
                <w:caps w:val="false"/>
                <w:smallCaps w:val="false"/>
                <w:spacing w:val="-21"/>
              </w:rPr>
              <w:t xml:space="preserve"> </w:t>
            </w:r>
            <w:r>
              <w:rPr>
                <w:rFonts w:ascii="Times New Roman;Times;serif" w:hAnsi="Times New Roman;Times;serif"/>
                <w:b w:val="false"/>
                <w:i w:val="false"/>
                <w:caps w:val="false"/>
                <w:smallCaps w:val="false"/>
                <w:sz w:val="20"/>
              </w:rPr>
              <w:t>and</w:t>
            </w:r>
          </w:p>
        </w:tc>
      </w:tr>
    </w:tbl>
    <w:p>
      <w:pPr>
        <w:pStyle w:val="TextBody"/>
        <w:bidi w:val="0"/>
        <w:spacing w:lineRule="auto" w:line="285" w:before="0" w:after="0"/>
        <w:ind w:left="72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204"/>
        <w:gridCol w:w="9978"/>
      </w:tblGrid>
      <w:tr>
        <w:trPr/>
        <w:tc>
          <w:tcPr>
            <w:tcW w:w="23"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w:t>
            </w:r>
          </w:p>
        </w:tc>
        <w:tc>
          <w:tcPr>
            <w:tcW w:w="9978"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disclosed in this report any change in the registrant’s internal control over financial reporting that occurred during the registrant’s most recent fiscal quarter (the registrant’s fourth fiscal quarter in the case of an annual</w:t>
            </w:r>
            <w:r>
              <w:rPr>
                <w:caps w:val="false"/>
                <w:smallCaps w:val="false"/>
                <w:spacing w:val="-3"/>
              </w:rPr>
              <w:t xml:space="preserve"> </w:t>
            </w:r>
            <w:r>
              <w:rPr>
                <w:rFonts w:ascii="Times New Roman;Times;serif" w:hAnsi="Times New Roman;Times;serif"/>
                <w:b w:val="false"/>
                <w:i w:val="false"/>
                <w:caps w:val="false"/>
                <w:smallCaps w:val="false"/>
                <w:sz w:val="20"/>
              </w:rPr>
              <w:t>report)</w:t>
            </w:r>
            <w:r>
              <w:rPr>
                <w:caps w:val="false"/>
                <w:smallCaps w:val="false"/>
                <w:spacing w:val="-3"/>
              </w:rPr>
              <w:t xml:space="preserve"> </w:t>
            </w:r>
            <w:r>
              <w:rPr>
                <w:rFonts w:ascii="Times New Roman;Times;serif" w:hAnsi="Times New Roman;Times;serif"/>
                <w:b w:val="false"/>
                <w:i w:val="false"/>
                <w:caps w:val="false"/>
                <w:smallCaps w:val="false"/>
                <w:sz w:val="20"/>
              </w:rPr>
              <w:t>that</w:t>
            </w:r>
            <w:r>
              <w:rPr>
                <w:caps w:val="false"/>
                <w:smallCaps w:val="false"/>
                <w:spacing w:val="-3"/>
              </w:rPr>
              <w:t xml:space="preserve"> </w:t>
            </w:r>
            <w:r>
              <w:rPr>
                <w:rFonts w:ascii="Times New Roman;Times;serif" w:hAnsi="Times New Roman;Times;serif"/>
                <w:b w:val="false"/>
                <w:i w:val="false"/>
                <w:caps w:val="false"/>
                <w:smallCaps w:val="false"/>
                <w:sz w:val="20"/>
              </w:rPr>
              <w:t>has</w:t>
            </w:r>
            <w:r>
              <w:rPr>
                <w:caps w:val="false"/>
                <w:smallCaps w:val="false"/>
                <w:spacing w:val="-1"/>
              </w:rPr>
              <w:t xml:space="preserve"> </w:t>
            </w:r>
            <w:r>
              <w:rPr>
                <w:rFonts w:ascii="Times New Roman;Times;serif" w:hAnsi="Times New Roman;Times;serif"/>
                <w:b w:val="false"/>
                <w:i w:val="false"/>
                <w:caps w:val="false"/>
                <w:smallCaps w:val="false"/>
                <w:sz w:val="20"/>
              </w:rPr>
              <w:t>materially</w:t>
            </w:r>
            <w:r>
              <w:rPr>
                <w:caps w:val="false"/>
                <w:smallCaps w:val="false"/>
                <w:spacing w:val="-3"/>
              </w:rPr>
              <w:t xml:space="preserve"> </w:t>
            </w:r>
            <w:r>
              <w:rPr>
                <w:rFonts w:ascii="Times New Roman;Times;serif" w:hAnsi="Times New Roman;Times;serif"/>
                <w:b w:val="false"/>
                <w:i w:val="false"/>
                <w:caps w:val="false"/>
                <w:smallCaps w:val="false"/>
                <w:sz w:val="20"/>
              </w:rPr>
              <w:t>affected,</w:t>
            </w:r>
            <w:r>
              <w:rPr>
                <w:caps w:val="false"/>
                <w:smallCaps w:val="false"/>
                <w:spacing w:val="-2"/>
              </w:rPr>
              <w:t xml:space="preserve"> </w:t>
            </w:r>
            <w:r>
              <w:rPr>
                <w:rFonts w:ascii="Times New Roman;Times;serif" w:hAnsi="Times New Roman;Times;serif"/>
                <w:b w:val="false"/>
                <w:i w:val="false"/>
                <w:caps w:val="false"/>
                <w:smallCaps w:val="false"/>
                <w:sz w:val="20"/>
              </w:rPr>
              <w:t>or</w:t>
            </w:r>
            <w:r>
              <w:rPr>
                <w:caps w:val="false"/>
                <w:smallCaps w:val="false"/>
                <w:spacing w:val="-3"/>
              </w:rPr>
              <w:t xml:space="preserve"> </w:t>
            </w:r>
            <w:r>
              <w:rPr>
                <w:rFonts w:ascii="Times New Roman;Times;serif" w:hAnsi="Times New Roman;Times;serif"/>
                <w:b w:val="false"/>
                <w:i w:val="false"/>
                <w:caps w:val="false"/>
                <w:smallCaps w:val="false"/>
                <w:sz w:val="20"/>
              </w:rPr>
              <w:t>is</w:t>
            </w:r>
            <w:r>
              <w:rPr>
                <w:caps w:val="false"/>
                <w:smallCaps w:val="false"/>
                <w:spacing w:val="-4"/>
              </w:rPr>
              <w:t xml:space="preserve"> </w:t>
            </w:r>
            <w:r>
              <w:rPr>
                <w:rFonts w:ascii="Times New Roman;Times;serif" w:hAnsi="Times New Roman;Times;serif"/>
                <w:b w:val="false"/>
                <w:i w:val="false"/>
                <w:caps w:val="false"/>
                <w:smallCaps w:val="false"/>
                <w:sz w:val="20"/>
              </w:rPr>
              <w:t>reasonably</w:t>
            </w:r>
            <w:r>
              <w:rPr>
                <w:caps w:val="false"/>
                <w:smallCaps w:val="false"/>
                <w:spacing w:val="-4"/>
              </w:rPr>
              <w:t xml:space="preserve"> </w:t>
            </w:r>
            <w:r>
              <w:rPr>
                <w:rFonts w:ascii="Times New Roman;Times;serif" w:hAnsi="Times New Roman;Times;serif"/>
                <w:b w:val="false"/>
                <w:i w:val="false"/>
                <w:caps w:val="false"/>
                <w:smallCaps w:val="false"/>
                <w:sz w:val="20"/>
              </w:rPr>
              <w:t>likely</w:t>
            </w:r>
            <w:r>
              <w:rPr>
                <w:caps w:val="false"/>
                <w:smallCaps w:val="false"/>
                <w:spacing w:val="-6"/>
              </w:rPr>
              <w:t xml:space="preserve"> </w:t>
            </w:r>
            <w:r>
              <w:rPr>
                <w:rFonts w:ascii="Times New Roman;Times;serif" w:hAnsi="Times New Roman;Times;serif"/>
                <w:b w:val="false"/>
                <w:i w:val="false"/>
                <w:caps w:val="false"/>
                <w:smallCaps w:val="false"/>
                <w:sz w:val="20"/>
              </w:rPr>
              <w:t>to materially</w:t>
            </w:r>
            <w:r>
              <w:rPr>
                <w:caps w:val="false"/>
                <w:smallCaps w:val="false"/>
                <w:spacing w:val="-4"/>
              </w:rPr>
              <w:t xml:space="preserve"> </w:t>
            </w:r>
            <w:r>
              <w:rPr>
                <w:rFonts w:ascii="Times New Roman;Times;serif" w:hAnsi="Times New Roman;Times;serif"/>
                <w:b w:val="false"/>
                <w:i w:val="false"/>
                <w:caps w:val="false"/>
                <w:smallCaps w:val="false"/>
                <w:sz w:val="20"/>
              </w:rPr>
              <w:t>affect,</w:t>
            </w:r>
            <w:r>
              <w:rPr>
                <w:caps w:val="false"/>
                <w:smallCaps w:val="false"/>
                <w:spacing w:val="-3"/>
              </w:rPr>
              <w:t xml:space="preserve"> </w:t>
            </w:r>
            <w:r>
              <w:rPr>
                <w:rFonts w:ascii="Times New Roman;Times;serif" w:hAnsi="Times New Roman;Times;serif"/>
                <w:b w:val="false"/>
                <w:i w:val="false"/>
                <w:caps w:val="false"/>
                <w:smallCaps w:val="false"/>
                <w:sz w:val="20"/>
              </w:rPr>
              <w:t>the</w:t>
            </w:r>
            <w:r>
              <w:rPr>
                <w:caps w:val="false"/>
                <w:smallCaps w:val="false"/>
                <w:spacing w:val="-3"/>
              </w:rPr>
              <w:t xml:space="preserve"> </w:t>
            </w:r>
            <w:r>
              <w:rPr>
                <w:rFonts w:ascii="Times New Roman;Times;serif" w:hAnsi="Times New Roman;Times;serif"/>
                <w:b w:val="false"/>
                <w:i w:val="false"/>
                <w:caps w:val="false"/>
                <w:smallCaps w:val="false"/>
                <w:sz w:val="20"/>
              </w:rPr>
              <w:t>registrant’s</w:t>
            </w:r>
            <w:r>
              <w:rPr>
                <w:caps w:val="false"/>
                <w:smallCaps w:val="false"/>
                <w:spacing w:val="-4"/>
              </w:rPr>
              <w:t xml:space="preserve"> </w:t>
            </w:r>
            <w:r>
              <w:rPr>
                <w:rFonts w:ascii="Times New Roman;Times;serif" w:hAnsi="Times New Roman;Times;serif"/>
                <w:b w:val="false"/>
                <w:i w:val="false"/>
                <w:caps w:val="false"/>
                <w:smallCaps w:val="false"/>
                <w:sz w:val="20"/>
              </w:rPr>
              <w:t>internal</w:t>
            </w:r>
            <w:r>
              <w:rPr>
                <w:caps w:val="false"/>
                <w:smallCaps w:val="false"/>
                <w:spacing w:val="-4"/>
              </w:rPr>
              <w:t xml:space="preserve"> </w:t>
            </w:r>
            <w:r>
              <w:rPr>
                <w:rFonts w:ascii="Times New Roman;Times;serif" w:hAnsi="Times New Roman;Times;serif"/>
                <w:b w:val="false"/>
                <w:i w:val="false"/>
                <w:caps w:val="false"/>
                <w:smallCaps w:val="false"/>
                <w:sz w:val="20"/>
              </w:rPr>
              <w:t>control over financial reporting;</w:t>
            </w:r>
            <w:r>
              <w:rPr>
                <w:caps w:val="false"/>
                <w:smallCaps w:val="false"/>
                <w:spacing w:val="-16"/>
              </w:rPr>
              <w:t xml:space="preserve"> </w:t>
            </w:r>
            <w:r>
              <w:rPr>
                <w:rFonts w:ascii="Times New Roman;Times;serif" w:hAnsi="Times New Roman;Times;serif"/>
                <w:b w:val="false"/>
                <w:i w:val="false"/>
                <w:caps w:val="false"/>
                <w:smallCaps w:val="false"/>
                <w:sz w:val="20"/>
              </w:rPr>
              <w:t>and</w:t>
            </w:r>
          </w:p>
        </w:tc>
      </w:tr>
    </w:tbl>
    <w:p>
      <w:pPr>
        <w:pStyle w:val="TextBody"/>
        <w:pBdr/>
        <w:bidi w:val="0"/>
        <w:spacing w:lineRule="auto" w:line="285" w:before="10" w:after="0"/>
        <w:ind w:left="0" w:right="0" w:hanging="360"/>
        <w:jc w:val="both"/>
        <w:rPr/>
      </w:pPr>
      <w:r>
        <w:rPr/>
        <w:t>​</w:t>
      </w:r>
    </w:p>
    <w:tbl>
      <w:tblPr>
        <w:tblW w:w="10205" w:type="dxa"/>
        <w:jc w:val="left"/>
        <w:tblInd w:w="0" w:type="dxa"/>
        <w:tblLayout w:type="fixed"/>
        <w:tblCellMar>
          <w:top w:w="0" w:type="dxa"/>
          <w:left w:w="0" w:type="dxa"/>
          <w:bottom w:w="0" w:type="dxa"/>
          <w:right w:w="0" w:type="dxa"/>
        </w:tblCellMar>
      </w:tblPr>
      <w:tblGrid>
        <w:gridCol w:w="209"/>
        <w:gridCol w:w="9996"/>
      </w:tblGrid>
      <w:tr>
        <w:trPr/>
        <w:tc>
          <w:tcPr>
            <w:tcW w:w="20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w:t>
            </w:r>
          </w:p>
        </w:tc>
        <w:tc>
          <w:tcPr>
            <w:tcW w:w="9996"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The registrant’s other certifying officer(s) and I have disclosed, based on our most recent evaluation of internal</w:t>
            </w:r>
            <w:r>
              <w:rPr>
                <w:caps w:val="false"/>
                <w:smallCaps w:val="false"/>
                <w:spacing w:val="-4"/>
              </w:rPr>
              <w:t xml:space="preserve"> </w:t>
            </w:r>
            <w:r>
              <w:rPr>
                <w:rFonts w:ascii="Times New Roman;Times;serif" w:hAnsi="Times New Roman;Times;serif"/>
                <w:b w:val="false"/>
                <w:i w:val="false"/>
                <w:caps w:val="false"/>
                <w:smallCaps w:val="false"/>
                <w:sz w:val="20"/>
              </w:rPr>
              <w:t>control</w:t>
            </w:r>
            <w:r>
              <w:rPr>
                <w:caps w:val="false"/>
                <w:smallCaps w:val="false"/>
                <w:spacing w:val="-4"/>
              </w:rPr>
              <w:t xml:space="preserve"> </w:t>
            </w:r>
            <w:r>
              <w:rPr>
                <w:rFonts w:ascii="Times New Roman;Times;serif" w:hAnsi="Times New Roman;Times;serif"/>
                <w:b w:val="false"/>
                <w:i w:val="false"/>
                <w:caps w:val="false"/>
                <w:smallCaps w:val="false"/>
                <w:sz w:val="20"/>
              </w:rPr>
              <w:t>over</w:t>
            </w:r>
            <w:r>
              <w:rPr>
                <w:caps w:val="false"/>
                <w:smallCaps w:val="false"/>
                <w:spacing w:val="-2"/>
              </w:rPr>
              <w:t xml:space="preserve"> </w:t>
            </w:r>
            <w:r>
              <w:rPr>
                <w:rFonts w:ascii="Times New Roman;Times;serif" w:hAnsi="Times New Roman;Times;serif"/>
                <w:b w:val="false"/>
                <w:i w:val="false"/>
                <w:caps w:val="false"/>
                <w:smallCaps w:val="false"/>
                <w:sz w:val="20"/>
              </w:rPr>
              <w:t>financial</w:t>
            </w:r>
            <w:r>
              <w:rPr>
                <w:caps w:val="false"/>
                <w:smallCaps w:val="false"/>
                <w:spacing w:val="-1"/>
              </w:rPr>
              <w:t xml:space="preserve"> </w:t>
            </w:r>
            <w:r>
              <w:rPr>
                <w:rFonts w:ascii="Times New Roman;Times;serif" w:hAnsi="Times New Roman;Times;serif"/>
                <w:b w:val="false"/>
                <w:i w:val="false"/>
                <w:caps w:val="false"/>
                <w:smallCaps w:val="false"/>
                <w:sz w:val="20"/>
              </w:rPr>
              <w:t>reporting,</w:t>
            </w:r>
            <w:r>
              <w:rPr>
                <w:caps w:val="false"/>
                <w:smallCaps w:val="false"/>
                <w:spacing w:val="-3"/>
              </w:rPr>
              <w:t xml:space="preserve"> </w:t>
            </w:r>
            <w:r>
              <w:rPr>
                <w:rFonts w:ascii="Times New Roman;Times;serif" w:hAnsi="Times New Roman;Times;serif"/>
                <w:b w:val="false"/>
                <w:i w:val="false"/>
                <w:caps w:val="false"/>
                <w:smallCaps w:val="false"/>
                <w:sz w:val="20"/>
              </w:rPr>
              <w:t>to</w:t>
            </w:r>
            <w:r>
              <w:rPr>
                <w:caps w:val="false"/>
                <w:smallCaps w:val="false"/>
                <w:spacing w:val="-2"/>
              </w:rPr>
              <w:t xml:space="preserve"> </w:t>
            </w:r>
            <w:r>
              <w:rPr>
                <w:rFonts w:ascii="Times New Roman;Times;serif" w:hAnsi="Times New Roman;Times;serif"/>
                <w:b w:val="false"/>
                <w:i w:val="false"/>
                <w:caps w:val="false"/>
                <w:smallCaps w:val="false"/>
                <w:sz w:val="20"/>
              </w:rPr>
              <w:t>the</w:t>
            </w:r>
            <w:r>
              <w:rPr>
                <w:caps w:val="false"/>
                <w:smallCaps w:val="false"/>
                <w:spacing w:val="-3"/>
              </w:rPr>
              <w:t xml:space="preserve"> </w:t>
            </w:r>
            <w:r>
              <w:rPr>
                <w:rFonts w:ascii="Times New Roman;Times;serif" w:hAnsi="Times New Roman;Times;serif"/>
                <w:b w:val="false"/>
                <w:i w:val="false"/>
                <w:caps w:val="false"/>
                <w:smallCaps w:val="false"/>
                <w:sz w:val="20"/>
              </w:rPr>
              <w:t>registrant’s</w:t>
            </w:r>
            <w:r>
              <w:rPr>
                <w:caps w:val="false"/>
                <w:smallCaps w:val="false"/>
                <w:spacing w:val="-4"/>
              </w:rPr>
              <w:t xml:space="preserve"> </w:t>
            </w:r>
            <w:r>
              <w:rPr>
                <w:rFonts w:ascii="Times New Roman;Times;serif" w:hAnsi="Times New Roman;Times;serif"/>
                <w:b w:val="false"/>
                <w:i w:val="false"/>
                <w:caps w:val="false"/>
                <w:smallCaps w:val="false"/>
                <w:sz w:val="20"/>
              </w:rPr>
              <w:t>auditors</w:t>
            </w:r>
            <w:r>
              <w:rPr>
                <w:caps w:val="false"/>
                <w:smallCaps w:val="false"/>
                <w:spacing w:val="-4"/>
              </w:rPr>
              <w:t xml:space="preserve"> </w:t>
            </w:r>
            <w:r>
              <w:rPr>
                <w:rFonts w:ascii="Times New Roman;Times;serif" w:hAnsi="Times New Roman;Times;serif"/>
                <w:b w:val="false"/>
                <w:i w:val="false"/>
                <w:caps w:val="false"/>
                <w:smallCaps w:val="false"/>
                <w:sz w:val="20"/>
              </w:rPr>
              <w:t>and</w:t>
            </w:r>
            <w:r>
              <w:rPr>
                <w:caps w:val="false"/>
                <w:smallCaps w:val="false"/>
                <w:spacing w:val="-2"/>
              </w:rPr>
              <w:t xml:space="preserve"> </w:t>
            </w:r>
            <w:r>
              <w:rPr>
                <w:rFonts w:ascii="Times New Roman;Times;serif" w:hAnsi="Times New Roman;Times;serif"/>
                <w:b w:val="false"/>
                <w:i w:val="false"/>
                <w:caps w:val="false"/>
                <w:smallCaps w:val="false"/>
                <w:sz w:val="20"/>
              </w:rPr>
              <w:t>the</w:t>
            </w:r>
            <w:r>
              <w:rPr>
                <w:caps w:val="false"/>
                <w:smallCaps w:val="false"/>
                <w:spacing w:val="-3"/>
              </w:rPr>
              <w:t xml:space="preserve"> </w:t>
            </w:r>
            <w:r>
              <w:rPr>
                <w:rFonts w:ascii="Times New Roman;Times;serif" w:hAnsi="Times New Roman;Times;serif"/>
                <w:b w:val="false"/>
                <w:i w:val="false"/>
                <w:caps w:val="false"/>
                <w:smallCaps w:val="false"/>
                <w:sz w:val="20"/>
              </w:rPr>
              <w:t>audit</w:t>
            </w:r>
            <w:r>
              <w:rPr>
                <w:caps w:val="false"/>
                <w:smallCaps w:val="false"/>
                <w:spacing w:val="-4"/>
              </w:rPr>
              <w:t xml:space="preserve"> </w:t>
            </w:r>
            <w:r>
              <w:rPr>
                <w:rFonts w:ascii="Times New Roman;Times;serif" w:hAnsi="Times New Roman;Times;serif"/>
                <w:b w:val="false"/>
                <w:i w:val="false"/>
                <w:caps w:val="false"/>
                <w:smallCaps w:val="false"/>
                <w:sz w:val="20"/>
              </w:rPr>
              <w:t>committee</w:t>
            </w:r>
            <w:r>
              <w:rPr>
                <w:caps w:val="false"/>
                <w:smallCaps w:val="false"/>
                <w:spacing w:val="-3"/>
              </w:rPr>
              <w:t xml:space="preserve"> </w:t>
            </w:r>
            <w:r>
              <w:rPr>
                <w:rFonts w:ascii="Times New Roman;Times;serif" w:hAnsi="Times New Roman;Times;serif"/>
                <w:b w:val="false"/>
                <w:i w:val="false"/>
                <w:caps w:val="false"/>
                <w:smallCaps w:val="false"/>
                <w:sz w:val="20"/>
              </w:rPr>
              <w:t>of</w:t>
            </w:r>
            <w:r>
              <w:rPr>
                <w:caps w:val="false"/>
                <w:smallCaps w:val="false"/>
                <w:spacing w:val="-5"/>
              </w:rPr>
              <w:t xml:space="preserve"> </w:t>
            </w:r>
            <w:r>
              <w:rPr>
                <w:rFonts w:ascii="Times New Roman;Times;serif" w:hAnsi="Times New Roman;Times;serif"/>
                <w:b w:val="false"/>
                <w:i w:val="false"/>
                <w:caps w:val="false"/>
                <w:smallCaps w:val="false"/>
                <w:sz w:val="20"/>
              </w:rPr>
              <w:t>the</w:t>
            </w:r>
            <w:r>
              <w:rPr>
                <w:caps w:val="false"/>
                <w:smallCaps w:val="false"/>
                <w:spacing w:val="-3"/>
              </w:rPr>
              <w:t xml:space="preserve"> </w:t>
            </w:r>
            <w:r>
              <w:rPr>
                <w:rFonts w:ascii="Times New Roman;Times;serif" w:hAnsi="Times New Roman;Times;serif"/>
                <w:b w:val="false"/>
                <w:i w:val="false"/>
                <w:caps w:val="false"/>
                <w:smallCaps w:val="false"/>
                <w:sz w:val="20"/>
              </w:rPr>
              <w:t>registrant’s</w:t>
            </w:r>
            <w:r>
              <w:rPr>
                <w:caps w:val="false"/>
                <w:smallCaps w:val="false"/>
                <w:spacing w:val="-4"/>
              </w:rPr>
              <w:t xml:space="preserve"> </w:t>
            </w:r>
            <w:r>
              <w:rPr>
                <w:rFonts w:ascii="Times New Roman;Times;serif" w:hAnsi="Times New Roman;Times;serif"/>
                <w:b w:val="false"/>
                <w:i w:val="false"/>
                <w:caps w:val="false"/>
                <w:smallCaps w:val="false"/>
                <w:sz w:val="20"/>
              </w:rPr>
              <w:t>board of directors (or persons performing the equivalent</w:t>
            </w:r>
            <w:r>
              <w:rPr>
                <w:caps w:val="false"/>
                <w:smallCaps w:val="false"/>
                <w:spacing w:val="-22"/>
              </w:rPr>
              <w:t xml:space="preserve"> </w:t>
            </w:r>
            <w:r>
              <w:rPr>
                <w:rFonts w:ascii="Times New Roman;Times;serif" w:hAnsi="Times New Roman;Times;serif"/>
                <w:b w:val="false"/>
                <w:i w:val="false"/>
                <w:caps w:val="false"/>
                <w:smallCaps w:val="false"/>
                <w:sz w:val="20"/>
              </w:rPr>
              <w:t>functions):</w:t>
            </w:r>
          </w:p>
        </w:tc>
      </w:tr>
    </w:tbl>
    <w:p>
      <w:pPr>
        <w:pStyle w:val="TextBody"/>
        <w:pBdr/>
        <w:bidi w:val="0"/>
        <w:spacing w:lineRule="auto" w:line="285" w:before="11" w:after="0"/>
        <w:ind w:left="0" w:right="0" w:hanging="360"/>
        <w:jc w:val="both"/>
        <w:rPr/>
      </w:pPr>
      <w:r>
        <w:rPr/>
        <w:t>​</w:t>
      </w:r>
    </w:p>
    <w:tbl>
      <w:tblPr>
        <w:tblW w:w="10205" w:type="dxa"/>
        <w:jc w:val="left"/>
        <w:tblInd w:w="0" w:type="dxa"/>
        <w:tblLayout w:type="fixed"/>
        <w:tblCellMar>
          <w:top w:w="0" w:type="dxa"/>
          <w:left w:w="0" w:type="dxa"/>
          <w:bottom w:w="0" w:type="dxa"/>
          <w:right w:w="0" w:type="dxa"/>
        </w:tblCellMar>
      </w:tblPr>
      <w:tblGrid>
        <w:gridCol w:w="23"/>
        <w:gridCol w:w="196"/>
        <w:gridCol w:w="9986"/>
      </w:tblGrid>
      <w:tr>
        <w:trPr/>
        <w:tc>
          <w:tcPr>
            <w:tcW w:w="2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9986"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all significant deficiencies and material weaknesses in the design or operation of internal control</w:t>
            </w:r>
            <w:r>
              <w:rPr>
                <w:caps w:val="false"/>
                <w:smallCaps w:val="false"/>
                <w:spacing w:val="-34"/>
              </w:rPr>
              <w:t xml:space="preserve"> </w:t>
            </w:r>
            <w:r>
              <w:rPr>
                <w:rFonts w:ascii="Times New Roman;Times;serif" w:hAnsi="Times New Roman;Times;serif"/>
                <w:b w:val="false"/>
                <w:i w:val="false"/>
                <w:caps w:val="false"/>
                <w:smallCaps w:val="false"/>
                <w:sz w:val="20"/>
              </w:rPr>
              <w:t>over financial reporting which are reasonably likely to adversely affect the registrant’s ability to record, process, summarize and report financial information;</w:t>
            </w:r>
            <w:r>
              <w:rPr>
                <w:caps w:val="false"/>
                <w:smallCaps w:val="false"/>
                <w:spacing w:val="-16"/>
              </w:rPr>
              <w:t xml:space="preserve"> </w:t>
            </w:r>
            <w:r>
              <w:rPr>
                <w:rFonts w:ascii="Times New Roman;Times;serif" w:hAnsi="Times New Roman;Times;serif"/>
                <w:b w:val="false"/>
                <w:i w:val="false"/>
                <w:caps w:val="false"/>
                <w:smallCaps w:val="false"/>
                <w:sz w:val="20"/>
              </w:rPr>
              <w:t>and</w:t>
            </w:r>
          </w:p>
        </w:tc>
      </w:tr>
    </w:tbl>
    <w:p>
      <w:pPr>
        <w:pStyle w:val="TextBody"/>
        <w:bidi w:val="0"/>
        <w:spacing w:lineRule="auto" w:line="285" w:before="0" w:after="0"/>
        <w:ind w:left="729"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227"/>
        <w:gridCol w:w="9955"/>
      </w:tblGrid>
      <w:tr>
        <w:trPr/>
        <w:tc>
          <w:tcPr>
            <w:tcW w:w="23"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9955"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any fraud, whether or not material, that involves management or other employees who have</w:t>
            </w:r>
            <w:r>
              <w:rPr>
                <w:caps w:val="false"/>
                <w:smallCaps w:val="false"/>
                <w:spacing w:val="-30"/>
              </w:rPr>
              <w:t xml:space="preserve"> </w:t>
            </w:r>
            <w:r>
              <w:rPr>
                <w:rFonts w:ascii="Times New Roman;Times;serif" w:hAnsi="Times New Roman;Times;serif"/>
                <w:b w:val="false"/>
                <w:i w:val="false"/>
                <w:caps w:val="false"/>
                <w:smallCaps w:val="false"/>
                <w:sz w:val="20"/>
              </w:rPr>
              <w:t>a significant role in the registrant’s internal control over financial</w:t>
            </w:r>
            <w:r>
              <w:rPr>
                <w:caps w:val="false"/>
                <w:smallCaps w:val="false"/>
                <w:spacing w:val="-29"/>
              </w:rPr>
              <w:t xml:space="preserve"> </w:t>
            </w:r>
            <w:r>
              <w:rPr>
                <w:rFonts w:ascii="Times New Roman;Times;serif" w:hAnsi="Times New Roman;Times;serif"/>
                <w:b w:val="false"/>
                <w:i w:val="false"/>
                <w:caps w:val="false"/>
                <w:smallCaps w:val="false"/>
                <w:sz w:val="20"/>
              </w:rPr>
              <w:t>reporting.</w:t>
            </w:r>
          </w:p>
        </w:tc>
      </w:tr>
    </w:tbl>
    <w:p>
      <w:pPr>
        <w:pStyle w:val="TextBody"/>
        <w:bidi w:val="0"/>
        <w:spacing w:lineRule="auto" w:line="285" w:before="0" w:after="0"/>
        <w:ind w:left="0" w:right="0" w:hanging="0"/>
        <w:jc w:val="both"/>
        <w:rPr/>
      </w:pPr>
      <w:r>
        <w:rPr/>
        <w:t>​</w:t>
      </w:r>
    </w:p>
    <w:p>
      <w:pPr>
        <w:pStyle w:val="TextBody"/>
        <w:bidi w:val="0"/>
        <w:spacing w:lineRule="auto" w:line="285" w:before="0" w:after="0"/>
        <w:ind w:left="0" w:right="0" w:hanging="0"/>
        <w:jc w:val="both"/>
        <w:rPr/>
      </w:pPr>
      <w:r>
        <w:rPr/>
        <w:t>​</w:t>
      </w:r>
    </w:p>
    <w:tbl>
      <w:tblPr>
        <w:tblW w:w="5057" w:type="dxa"/>
        <w:jc w:val="left"/>
        <w:tblInd w:w="0" w:type="dxa"/>
        <w:tblLayout w:type="fixed"/>
        <w:tblCellMar>
          <w:top w:w="0" w:type="dxa"/>
          <w:left w:w="0" w:type="dxa"/>
          <w:bottom w:w="0" w:type="dxa"/>
          <w:right w:w="0" w:type="dxa"/>
        </w:tblCellMar>
      </w:tblPr>
      <w:tblGrid>
        <w:gridCol w:w="1846"/>
        <w:gridCol w:w="3211"/>
      </w:tblGrid>
      <w:tr>
        <w:trPr/>
        <w:tc>
          <w:tcPr>
            <w:tcW w:w="1846" w:type="dxa"/>
            <w:tcBorders/>
            <w:vAlign w:val="center"/>
          </w:tcPr>
          <w:p>
            <w:pPr>
              <w:pStyle w:val="TableContents"/>
              <w:bidi w:val="0"/>
              <w:spacing w:lineRule="auto" w:line="285" w:before="0" w:after="0"/>
              <w:ind w:left="0" w:right="0" w:hanging="0"/>
              <w:jc w:val="left"/>
              <w:rPr/>
            </w:pPr>
            <w:r>
              <w:rPr/>
              <w:t>​</w:t>
            </w:r>
          </w:p>
        </w:tc>
        <w:tc>
          <w:tcPr>
            <w:tcW w:w="3211" w:type="dxa"/>
            <w:tcBorders/>
            <w:vAlign w:val="center"/>
          </w:tcPr>
          <w:p>
            <w:pPr>
              <w:pStyle w:val="TableContents"/>
              <w:bidi w:val="0"/>
              <w:spacing w:lineRule="auto" w:line="285" w:before="0" w:after="0"/>
              <w:ind w:left="0" w:right="0" w:hanging="0"/>
              <w:jc w:val="left"/>
              <w:rPr/>
            </w:pPr>
            <w:r>
              <w:rPr/>
              <w:t>​</w:t>
            </w:r>
          </w:p>
        </w:tc>
      </w:tr>
      <w:tr>
        <w:trPr/>
        <w:tc>
          <w:tcPr>
            <w:tcW w:w="1846" w:type="dxa"/>
            <w:tcBorders/>
            <w:vAlign w:val="center"/>
          </w:tcPr>
          <w:p>
            <w:pPr>
              <w:pStyle w:val="TableContents"/>
              <w:bidi w:val="0"/>
              <w:spacing w:lineRule="auto" w:line="285" w:before="0" w:after="0"/>
              <w:ind w:left="0" w:right="0" w:hanging="0"/>
              <w:jc w:val="both"/>
              <w:rPr>
                <w:rFonts w:ascii="Times New Roman;Times;serif" w:hAnsi="Times New Roman;Times;serif"/>
                <w:sz w:val="20"/>
              </w:rPr>
            </w:pPr>
            <w:r>
              <w:rPr>
                <w:rFonts w:ascii="Times New Roman;Times;serif" w:hAnsi="Times New Roman;Times;serif"/>
                <w:sz w:val="20"/>
              </w:rPr>
              <w:t>Date: August 6, 2026</w:t>
            </w:r>
          </w:p>
        </w:tc>
        <w:tc>
          <w:tcPr>
            <w:tcW w:w="3211" w:type="dxa"/>
            <w:tcBorders>
              <w:bottom w:val="single" w:sz="2" w:space="0" w:color="000000"/>
            </w:tcBorders>
            <w:tcMar>
              <w:bottom w:w="28" w:type="dxa"/>
            </w:tcMar>
            <w:vAlign w:val="center"/>
          </w:tcPr>
          <w:p>
            <w:pPr>
              <w:pStyle w:val="TableContents"/>
              <w:bidi w:val="0"/>
              <w:spacing w:lineRule="auto" w:line="285" w:before="0" w:after="0"/>
              <w:ind w:left="0" w:right="0" w:hanging="0"/>
              <w:jc w:val="both"/>
              <w:rPr>
                <w:rFonts w:ascii="Times New Roman;Times;serif" w:hAnsi="Times New Roman;Times;serif"/>
                <w:sz w:val="20"/>
              </w:rPr>
            </w:pPr>
            <w:r>
              <w:rPr>
                <w:rFonts w:ascii="Times New Roman;Times;serif" w:hAnsi="Times New Roman;Times;serif"/>
                <w:sz w:val="20"/>
              </w:rPr>
              <w:t>/s/ Hyung Heon Kim</w:t>
            </w:r>
          </w:p>
        </w:tc>
      </w:tr>
      <w:tr>
        <w:trPr/>
        <w:tc>
          <w:tcPr>
            <w:tcW w:w="1846" w:type="dxa"/>
            <w:tcBorders/>
            <w:vAlign w:val="center"/>
          </w:tcPr>
          <w:p>
            <w:pPr>
              <w:pStyle w:val="TableContents"/>
              <w:bidi w:val="0"/>
              <w:spacing w:lineRule="auto" w:line="285" w:before="0" w:after="0"/>
              <w:ind w:left="0" w:right="0" w:hanging="0"/>
              <w:jc w:val="both"/>
              <w:rPr/>
            </w:pPr>
            <w:r>
              <w:rPr/>
              <w:t>​</w:t>
            </w:r>
          </w:p>
        </w:tc>
        <w:tc>
          <w:tcPr>
            <w:tcW w:w="3211" w:type="dxa"/>
            <w:tcBorders>
              <w:top w:val="single" w:sz="2" w:space="0" w:color="000000"/>
            </w:tcBorders>
            <w:tcMar>
              <w:top w:w="28" w:type="dxa"/>
            </w:tcMar>
            <w:vAlign w:val="center"/>
          </w:tcPr>
          <w:p>
            <w:pPr>
              <w:pStyle w:val="TableContents"/>
              <w:bidi w:val="0"/>
              <w:spacing w:lineRule="auto" w:line="285" w:before="0" w:after="0"/>
              <w:ind w:left="0" w:right="0" w:hanging="0"/>
              <w:jc w:val="both"/>
              <w:rPr>
                <w:rFonts w:ascii="Times New Roman;Times;serif" w:hAnsi="Times New Roman;Times;serif"/>
                <w:sz w:val="20"/>
              </w:rPr>
            </w:pPr>
            <w:r>
              <w:rPr>
                <w:rFonts w:ascii="Times New Roman;Times;serif" w:hAnsi="Times New Roman;Times;serif"/>
                <w:sz w:val="20"/>
              </w:rPr>
              <w:t>President and Chief Executive Officer</w:t>
            </w:r>
          </w:p>
        </w:tc>
      </w:tr>
      <w:tr>
        <w:trPr/>
        <w:tc>
          <w:tcPr>
            <w:tcW w:w="1846" w:type="dxa"/>
            <w:tcBorders/>
            <w:vAlign w:val="center"/>
          </w:tcPr>
          <w:p>
            <w:pPr>
              <w:pStyle w:val="TableContents"/>
              <w:bidi w:val="0"/>
              <w:spacing w:lineRule="auto" w:line="285" w:before="0" w:after="0"/>
              <w:ind w:left="0" w:right="0" w:hanging="0"/>
              <w:jc w:val="both"/>
              <w:rPr/>
            </w:pPr>
            <w:r>
              <w:rPr/>
              <w:t>​</w:t>
            </w:r>
          </w:p>
        </w:tc>
        <w:tc>
          <w:tcPr>
            <w:tcW w:w="3211" w:type="dxa"/>
            <w:tcBorders/>
            <w:vAlign w:val="center"/>
          </w:tcPr>
          <w:p>
            <w:pPr>
              <w:pStyle w:val="TableContents"/>
              <w:bidi w:val="0"/>
              <w:spacing w:lineRule="auto" w:line="285" w:before="0" w:after="0"/>
              <w:ind w:left="0" w:right="0" w:hanging="0"/>
              <w:jc w:val="both"/>
              <w:rPr>
                <w:rFonts w:ascii="Times New Roman;Times;serif" w:hAnsi="Times New Roman;Times;serif"/>
                <w:sz w:val="20"/>
              </w:rPr>
            </w:pPr>
            <w:r>
              <w:rPr>
                <w:rFonts w:ascii="Times New Roman;Times;serif" w:hAnsi="Times New Roman;Times;serif"/>
                <w:sz w:val="20"/>
              </w:rPr>
              <w:t>(Principal Executive Officer)</w:t>
            </w:r>
          </w:p>
        </w:tc>
      </w:tr>
      <w:tr>
        <w:trPr/>
        <w:tc>
          <w:tcPr>
            <w:tcW w:w="1846" w:type="dxa"/>
            <w:tcBorders/>
            <w:vAlign w:val="center"/>
          </w:tcPr>
          <w:p>
            <w:pPr>
              <w:pStyle w:val="TableContents"/>
              <w:bidi w:val="0"/>
              <w:spacing w:lineRule="auto" w:line="285" w:before="0" w:after="0"/>
              <w:ind w:left="0" w:right="0" w:hanging="0"/>
              <w:jc w:val="left"/>
              <w:rPr/>
            </w:pPr>
            <w:r>
              <w:rPr/>
              <w:t>​</w:t>
            </w:r>
          </w:p>
        </w:tc>
        <w:tc>
          <w:tcPr>
            <w:tcW w:w="3211"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5"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lineRule="auto" w:line="285" w:before="0" w:after="240"/>
        <w:ind w:left="0" w:right="0" w:hanging="0"/>
        <w:jc w:val="right"/>
        <w:rPr>
          <w:rFonts w:ascii="Times New Roman;Times;serif" w:hAnsi="Times New Roman;Times;serif"/>
          <w:sz w:val="20"/>
        </w:rPr>
      </w:pPr>
      <w:bookmarkStart w:id="839" w:name="mtva-20260630xex31d2.htm"/>
      <w:bookmarkStart w:id="840" w:name="ksmtva20260630xex31d2"/>
      <w:bookmarkEnd w:id="839"/>
      <w:bookmarkEnd w:id="840"/>
      <w:r>
        <w:rPr>
          <w:rFonts w:ascii="Times New Roman;Times;serif" w:hAnsi="Times New Roman;Times;serif"/>
          <w:sz w:val="20"/>
        </w:rPr>
        <w:t xml:space="preserve">Exhibit 31.2 </w:t>
      </w:r>
      <w:r>
        <w:br w:type="page"/>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Certification of Chief Financial Officer</w:t>
      </w:r>
    </w:p>
    <w:p>
      <w:pPr>
        <w:pStyle w:val="TextBody"/>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pursuant to Rule 13a-14(a) or Rule 15d-14(a)</w:t>
      </w:r>
    </w:p>
    <w:p>
      <w:pPr>
        <w:pStyle w:val="TextBody"/>
        <w:bidi w:val="0"/>
        <w:spacing w:lineRule="auto" w:line="285" w:before="0" w:after="0"/>
        <w:ind w:left="0" w:right="0" w:hanging="0"/>
        <w:jc w:val="center"/>
        <w:rPr/>
      </w:pPr>
      <w:r>
        <w:rPr/>
        <w:t>​</w:t>
      </w:r>
    </w:p>
    <w:p>
      <w:pPr>
        <w:pStyle w:val="TextBody"/>
        <w:bidi w:val="0"/>
        <w:spacing w:lineRule="auto" w:line="285" w:before="0" w:after="0"/>
        <w:ind w:left="0" w:right="0" w:hanging="0"/>
        <w:jc w:val="both"/>
        <w:rPr>
          <w:rFonts w:ascii="Times New Roman;Times;serif" w:hAnsi="Times New Roman;Times;serif"/>
          <w:sz w:val="20"/>
        </w:rPr>
      </w:pPr>
      <w:r>
        <w:rPr>
          <w:rFonts w:ascii="Times New Roman;Times;serif" w:hAnsi="Times New Roman;Times;serif"/>
          <w:sz w:val="20"/>
        </w:rPr>
        <w:t>I, Marshall Woodworth, certify that:</w:t>
      </w:r>
    </w:p>
    <w:p>
      <w:pPr>
        <w:pStyle w:val="TextBody"/>
        <w:bidi w:val="0"/>
        <w:spacing w:lineRule="auto" w:line="285" w:before="8" w:after="0"/>
        <w:ind w:left="0" w:right="0" w:hanging="0"/>
        <w:jc w:val="both"/>
        <w:rPr/>
      </w:pPr>
      <w:r>
        <w:rPr/>
        <w:t>​</w:t>
      </w:r>
    </w:p>
    <w:tbl>
      <w:tblPr>
        <w:tblW w:w="9370" w:type="dxa"/>
        <w:jc w:val="left"/>
        <w:tblInd w:w="0" w:type="dxa"/>
        <w:tblLayout w:type="fixed"/>
        <w:tblCellMar>
          <w:top w:w="0" w:type="dxa"/>
          <w:left w:w="0" w:type="dxa"/>
          <w:bottom w:w="0" w:type="dxa"/>
          <w:right w:w="0" w:type="dxa"/>
        </w:tblCellMar>
      </w:tblPr>
      <w:tblGrid>
        <w:gridCol w:w="245"/>
        <w:gridCol w:w="9125"/>
      </w:tblGrid>
      <w:tr>
        <w:trPr/>
        <w:tc>
          <w:tcPr>
            <w:tcW w:w="2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1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have reviewed this quarterly report on Form 10-Q for the quarterly period ended June 30, 2026 of MetaVia Inc.;</w:t>
            </w:r>
          </w:p>
        </w:tc>
      </w:tr>
    </w:tbl>
    <w:p>
      <w:pPr>
        <w:pStyle w:val="TextBody"/>
        <w:bidi w:val="0"/>
        <w:spacing w:lineRule="auto" w:line="285" w:before="8" w:after="0"/>
        <w:ind w:left="36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08"/>
        <w:gridCol w:w="9997"/>
      </w:tblGrid>
      <w:tr>
        <w:trPr/>
        <w:tc>
          <w:tcPr>
            <w:tcW w:w="20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9997"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Based on my knowledge, this report does not contain any untrue statement of a material fact or omit</w:t>
            </w:r>
            <w:r>
              <w:rPr>
                <w:caps w:val="false"/>
                <w:smallCaps w:val="false"/>
                <w:spacing w:val="-28"/>
              </w:rPr>
              <w:t xml:space="preserve"> </w:t>
            </w:r>
            <w:r>
              <w:rPr>
                <w:rFonts w:ascii="Times New Roman;Times;serif" w:hAnsi="Times New Roman;Times;serif"/>
                <w:b w:val="false"/>
                <w:i w:val="false"/>
                <w:caps w:val="false"/>
                <w:smallCaps w:val="false"/>
                <w:sz w:val="20"/>
              </w:rPr>
              <w:t>to state a material fact necessary to make the statements made, in light of the circumstances under which such statements were made, not misleading with respect to the period covered by this</w:t>
            </w:r>
            <w:r>
              <w:rPr>
                <w:caps w:val="false"/>
                <w:smallCaps w:val="false"/>
                <w:spacing w:val="-28"/>
              </w:rPr>
              <w:t xml:space="preserve"> </w:t>
            </w:r>
            <w:r>
              <w:rPr>
                <w:rFonts w:ascii="Times New Roman;Times;serif" w:hAnsi="Times New Roman;Times;serif"/>
                <w:b w:val="false"/>
                <w:i w:val="false"/>
                <w:caps w:val="false"/>
                <w:smallCaps w:val="false"/>
                <w:sz w:val="20"/>
              </w:rPr>
              <w:t>report;</w:t>
            </w:r>
          </w:p>
        </w:tc>
      </w:tr>
    </w:tbl>
    <w:p>
      <w:pPr>
        <w:pStyle w:val="TextBody"/>
        <w:bidi w:val="0"/>
        <w:spacing w:lineRule="auto" w:line="285" w:before="0" w:after="0"/>
        <w:ind w:left="72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10"/>
        <w:gridCol w:w="9995"/>
      </w:tblGrid>
      <w:tr>
        <w:trPr/>
        <w:tc>
          <w:tcPr>
            <w:tcW w:w="2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9995"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Based on my knowledge, the financial statements, and other financial information included in this report, fairly</w:t>
            </w:r>
            <w:r>
              <w:rPr>
                <w:caps w:val="false"/>
                <w:smallCaps w:val="false"/>
                <w:spacing w:val="-6"/>
              </w:rPr>
              <w:t xml:space="preserve"> </w:t>
            </w:r>
            <w:r>
              <w:rPr>
                <w:rFonts w:ascii="Times New Roman;Times;serif" w:hAnsi="Times New Roman;Times;serif"/>
                <w:b w:val="false"/>
                <w:i w:val="false"/>
                <w:caps w:val="false"/>
                <w:smallCaps w:val="false"/>
                <w:sz w:val="20"/>
              </w:rPr>
              <w:t>present</w:t>
            </w:r>
            <w:r>
              <w:rPr>
                <w:caps w:val="false"/>
                <w:smallCaps w:val="false"/>
                <w:spacing w:val="-3"/>
              </w:rPr>
              <w:t xml:space="preserve"> </w:t>
            </w:r>
            <w:r>
              <w:rPr>
                <w:rFonts w:ascii="Times New Roman;Times;serif" w:hAnsi="Times New Roman;Times;serif"/>
                <w:b w:val="false"/>
                <w:i w:val="false"/>
                <w:caps w:val="false"/>
                <w:smallCaps w:val="false"/>
                <w:sz w:val="20"/>
              </w:rPr>
              <w:t>in</w:t>
            </w:r>
            <w:r>
              <w:rPr>
                <w:caps w:val="false"/>
                <w:smallCaps w:val="false"/>
                <w:spacing w:val="-3"/>
              </w:rPr>
              <w:t xml:space="preserve"> </w:t>
            </w:r>
            <w:r>
              <w:rPr>
                <w:rFonts w:ascii="Times New Roman;Times;serif" w:hAnsi="Times New Roman;Times;serif"/>
                <w:b w:val="false"/>
                <w:i w:val="false"/>
                <w:caps w:val="false"/>
                <w:smallCaps w:val="false"/>
                <w:sz w:val="20"/>
              </w:rPr>
              <w:t>all</w:t>
            </w:r>
            <w:r>
              <w:rPr>
                <w:caps w:val="false"/>
                <w:smallCaps w:val="false"/>
                <w:spacing w:val="-1"/>
              </w:rPr>
              <w:t xml:space="preserve"> </w:t>
            </w:r>
            <w:r>
              <w:rPr>
                <w:rFonts w:ascii="Times New Roman;Times;serif" w:hAnsi="Times New Roman;Times;serif"/>
                <w:b w:val="false"/>
                <w:i w:val="false"/>
                <w:caps w:val="false"/>
                <w:smallCaps w:val="false"/>
                <w:sz w:val="20"/>
              </w:rPr>
              <w:t>material</w:t>
            </w:r>
            <w:r>
              <w:rPr>
                <w:caps w:val="false"/>
                <w:smallCaps w:val="false"/>
                <w:spacing w:val="-2"/>
              </w:rPr>
              <w:t xml:space="preserve"> </w:t>
            </w:r>
            <w:r>
              <w:rPr>
                <w:rFonts w:ascii="Times New Roman;Times;serif" w:hAnsi="Times New Roman;Times;serif"/>
                <w:b w:val="false"/>
                <w:i w:val="false"/>
                <w:caps w:val="false"/>
                <w:smallCaps w:val="false"/>
                <w:sz w:val="20"/>
              </w:rPr>
              <w:t>respects</w:t>
            </w:r>
            <w:r>
              <w:rPr>
                <w:caps w:val="false"/>
                <w:smallCaps w:val="false"/>
                <w:spacing w:val="-3"/>
              </w:rPr>
              <w:t xml:space="preserve"> </w:t>
            </w:r>
            <w:r>
              <w:rPr>
                <w:rFonts w:ascii="Times New Roman;Times;serif" w:hAnsi="Times New Roman;Times;serif"/>
                <w:b w:val="false"/>
                <w:i w:val="false"/>
                <w:caps w:val="false"/>
                <w:smallCaps w:val="false"/>
                <w:sz w:val="20"/>
              </w:rPr>
              <w:t>the financial</w:t>
            </w:r>
            <w:r>
              <w:rPr>
                <w:caps w:val="false"/>
                <w:smallCaps w:val="false"/>
                <w:spacing w:val="-2"/>
              </w:rPr>
              <w:t xml:space="preserve"> </w:t>
            </w:r>
            <w:r>
              <w:rPr>
                <w:rFonts w:ascii="Times New Roman;Times;serif" w:hAnsi="Times New Roman;Times;serif"/>
                <w:b w:val="false"/>
                <w:i w:val="false"/>
                <w:caps w:val="false"/>
                <w:smallCaps w:val="false"/>
                <w:sz w:val="20"/>
              </w:rPr>
              <w:t>condition, results</w:t>
            </w:r>
            <w:r>
              <w:rPr>
                <w:caps w:val="false"/>
                <w:smallCaps w:val="false"/>
                <w:spacing w:val="-3"/>
              </w:rPr>
              <w:t xml:space="preserve"> </w:t>
            </w:r>
            <w:r>
              <w:rPr>
                <w:rFonts w:ascii="Times New Roman;Times;serif" w:hAnsi="Times New Roman;Times;serif"/>
                <w:b w:val="false"/>
                <w:i w:val="false"/>
                <w:caps w:val="false"/>
                <w:smallCaps w:val="false"/>
                <w:sz w:val="20"/>
              </w:rPr>
              <w:t>of</w:t>
            </w:r>
            <w:r>
              <w:rPr>
                <w:caps w:val="false"/>
                <w:smallCaps w:val="false"/>
                <w:spacing w:val="-4"/>
              </w:rPr>
              <w:t xml:space="preserve"> </w:t>
            </w:r>
            <w:r>
              <w:rPr>
                <w:rFonts w:ascii="Times New Roman;Times;serif" w:hAnsi="Times New Roman;Times;serif"/>
                <w:b w:val="false"/>
                <w:i w:val="false"/>
                <w:caps w:val="false"/>
                <w:smallCaps w:val="false"/>
                <w:sz w:val="20"/>
              </w:rPr>
              <w:t>operations</w:t>
            </w:r>
            <w:r>
              <w:rPr>
                <w:caps w:val="false"/>
                <w:smallCaps w:val="false"/>
                <w:spacing w:val="-3"/>
              </w:rPr>
              <w:t xml:space="preserve"> </w:t>
            </w:r>
            <w:r>
              <w:rPr>
                <w:rFonts w:ascii="Times New Roman;Times;serif" w:hAnsi="Times New Roman;Times;serif"/>
                <w:b w:val="false"/>
                <w:i w:val="false"/>
                <w:caps w:val="false"/>
                <w:smallCaps w:val="false"/>
                <w:sz w:val="20"/>
              </w:rPr>
              <w:t>and</w:t>
            </w:r>
            <w:r>
              <w:rPr>
                <w:caps w:val="false"/>
                <w:smallCaps w:val="false"/>
                <w:spacing w:val="-2"/>
              </w:rPr>
              <w:t xml:space="preserve"> </w:t>
            </w:r>
            <w:r>
              <w:rPr>
                <w:rFonts w:ascii="Times New Roman;Times;serif" w:hAnsi="Times New Roman;Times;serif"/>
                <w:b w:val="false"/>
                <w:i w:val="false"/>
                <w:caps w:val="false"/>
                <w:smallCaps w:val="false"/>
                <w:sz w:val="20"/>
              </w:rPr>
              <w:t>cash</w:t>
            </w:r>
            <w:r>
              <w:rPr>
                <w:caps w:val="false"/>
                <w:smallCaps w:val="false"/>
                <w:spacing w:val="-2"/>
              </w:rPr>
              <w:t xml:space="preserve"> </w:t>
            </w:r>
            <w:r>
              <w:rPr>
                <w:rFonts w:ascii="Times New Roman;Times;serif" w:hAnsi="Times New Roman;Times;serif"/>
                <w:b w:val="false"/>
                <w:i w:val="false"/>
                <w:caps w:val="false"/>
                <w:smallCaps w:val="false"/>
                <w:sz w:val="20"/>
              </w:rPr>
              <w:t>flows</w:t>
            </w:r>
            <w:r>
              <w:rPr>
                <w:caps w:val="false"/>
                <w:smallCaps w:val="false"/>
                <w:spacing w:val="-3"/>
              </w:rPr>
              <w:t xml:space="preserve"> </w:t>
            </w:r>
            <w:r>
              <w:rPr>
                <w:rFonts w:ascii="Times New Roman;Times;serif" w:hAnsi="Times New Roman;Times;serif"/>
                <w:b w:val="false"/>
                <w:i w:val="false"/>
                <w:caps w:val="false"/>
                <w:smallCaps w:val="false"/>
                <w:sz w:val="20"/>
              </w:rPr>
              <w:t>of</w:t>
            </w:r>
            <w:r>
              <w:rPr>
                <w:caps w:val="false"/>
                <w:smallCaps w:val="false"/>
                <w:spacing w:val="-4"/>
              </w:rPr>
              <w:t xml:space="preserve"> </w:t>
            </w:r>
            <w:r>
              <w:rPr>
                <w:rFonts w:ascii="Times New Roman;Times;serif" w:hAnsi="Times New Roman;Times;serif"/>
                <w:b w:val="false"/>
                <w:i w:val="false"/>
                <w:caps w:val="false"/>
                <w:smallCaps w:val="false"/>
                <w:sz w:val="20"/>
              </w:rPr>
              <w:t>the</w:t>
            </w:r>
            <w:r>
              <w:rPr>
                <w:caps w:val="false"/>
                <w:smallCaps w:val="false"/>
                <w:spacing w:val="-2"/>
              </w:rPr>
              <w:t xml:space="preserve"> </w:t>
            </w:r>
            <w:r>
              <w:rPr>
                <w:rFonts w:ascii="Times New Roman;Times;serif" w:hAnsi="Times New Roman;Times;serif"/>
                <w:b w:val="false"/>
                <w:i w:val="false"/>
                <w:caps w:val="false"/>
                <w:smallCaps w:val="false"/>
                <w:sz w:val="20"/>
              </w:rPr>
              <w:t>registrant</w:t>
            </w:r>
            <w:r>
              <w:rPr>
                <w:caps w:val="false"/>
                <w:smallCaps w:val="false"/>
                <w:spacing w:val="-3"/>
              </w:rPr>
              <w:t xml:space="preserve"> </w:t>
            </w:r>
            <w:r>
              <w:rPr>
                <w:rFonts w:ascii="Times New Roman;Times;serif" w:hAnsi="Times New Roman;Times;serif"/>
                <w:b w:val="false"/>
                <w:i w:val="false"/>
                <w:caps w:val="false"/>
                <w:smallCaps w:val="false"/>
                <w:sz w:val="20"/>
              </w:rPr>
              <w:t>as of, and for, the periods presented in this report;</w:t>
            </w:r>
          </w:p>
        </w:tc>
      </w:tr>
    </w:tbl>
    <w:p>
      <w:pPr>
        <w:pStyle w:val="TextBody"/>
        <w:bidi w:val="0"/>
        <w:spacing w:lineRule="auto" w:line="285" w:before="0" w:after="0"/>
        <w:ind w:left="72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06"/>
        <w:gridCol w:w="9999"/>
      </w:tblGrid>
      <w:tr>
        <w:trPr/>
        <w:tc>
          <w:tcPr>
            <w:tcW w:w="20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w:t>
            </w:r>
          </w:p>
        </w:tc>
        <w:tc>
          <w:tcPr>
            <w:tcW w:w="9999"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The registrant’s other certifying officer(s) and I</w:t>
            </w:r>
            <w:r>
              <w:rPr>
                <w:caps w:val="false"/>
                <w:smallCaps w:val="false"/>
                <w:spacing w:val="-3"/>
              </w:rPr>
              <w:t xml:space="preserve"> </w:t>
            </w:r>
            <w:r>
              <w:rPr>
                <w:rFonts w:ascii="Times New Roman;Times;serif" w:hAnsi="Times New Roman;Times;serif"/>
                <w:b w:val="false"/>
                <w:i w:val="false"/>
                <w:caps w:val="false"/>
                <w:smallCaps w:val="false"/>
                <w:sz w:val="20"/>
              </w:rPr>
              <w:t>are</w:t>
            </w:r>
            <w:r>
              <w:rPr>
                <w:caps w:val="false"/>
                <w:smallCaps w:val="false"/>
                <w:spacing w:val="-3"/>
              </w:rPr>
              <w:t xml:space="preserve"> </w:t>
            </w:r>
            <w:r>
              <w:rPr>
                <w:rFonts w:ascii="Times New Roman;Times;serif" w:hAnsi="Times New Roman;Times;serif"/>
                <w:b w:val="false"/>
                <w:i w:val="false"/>
                <w:caps w:val="false"/>
                <w:smallCaps w:val="false"/>
                <w:sz w:val="20"/>
              </w:rPr>
              <w:t>responsible</w:t>
            </w:r>
            <w:r>
              <w:rPr>
                <w:caps w:val="false"/>
                <w:smallCaps w:val="false"/>
                <w:spacing w:val="-3"/>
              </w:rPr>
              <w:t xml:space="preserve"> </w:t>
            </w:r>
            <w:r>
              <w:rPr>
                <w:rFonts w:ascii="Times New Roman;Times;serif" w:hAnsi="Times New Roman;Times;serif"/>
                <w:b w:val="false"/>
                <w:i w:val="false"/>
                <w:caps w:val="false"/>
                <w:smallCaps w:val="false"/>
                <w:sz w:val="20"/>
              </w:rPr>
              <w:t>for</w:t>
            </w:r>
            <w:r>
              <w:rPr>
                <w:caps w:val="false"/>
                <w:smallCaps w:val="false"/>
                <w:spacing w:val="-3"/>
              </w:rPr>
              <w:t xml:space="preserve"> </w:t>
            </w:r>
            <w:r>
              <w:rPr>
                <w:rFonts w:ascii="Times New Roman;Times;serif" w:hAnsi="Times New Roman;Times;serif"/>
                <w:b w:val="false"/>
                <w:i w:val="false"/>
                <w:caps w:val="false"/>
                <w:smallCaps w:val="false"/>
                <w:sz w:val="20"/>
              </w:rPr>
              <w:t>establishing</w:t>
            </w:r>
            <w:r>
              <w:rPr>
                <w:caps w:val="false"/>
                <w:smallCaps w:val="false"/>
                <w:spacing w:val="-4"/>
              </w:rPr>
              <w:t xml:space="preserve"> </w:t>
            </w:r>
            <w:r>
              <w:rPr>
                <w:rFonts w:ascii="Times New Roman;Times;serif" w:hAnsi="Times New Roman;Times;serif"/>
                <w:b w:val="false"/>
                <w:i w:val="false"/>
                <w:caps w:val="false"/>
                <w:smallCaps w:val="false"/>
                <w:sz w:val="20"/>
              </w:rPr>
              <w:t>and</w:t>
            </w:r>
            <w:r>
              <w:rPr>
                <w:caps w:val="false"/>
                <w:smallCaps w:val="false"/>
                <w:spacing w:val="-1"/>
              </w:rPr>
              <w:t xml:space="preserve"> </w:t>
            </w:r>
            <w:r>
              <w:rPr>
                <w:rFonts w:ascii="Times New Roman;Times;serif" w:hAnsi="Times New Roman;Times;serif"/>
                <w:b w:val="false"/>
                <w:i w:val="false"/>
                <w:caps w:val="false"/>
                <w:smallCaps w:val="false"/>
                <w:sz w:val="20"/>
              </w:rPr>
              <w:t>maintaining</w:t>
            </w:r>
            <w:r>
              <w:rPr>
                <w:caps w:val="false"/>
                <w:smallCaps w:val="false"/>
                <w:spacing w:val="-4"/>
              </w:rPr>
              <w:t xml:space="preserve"> </w:t>
            </w:r>
            <w:r>
              <w:rPr>
                <w:rFonts w:ascii="Times New Roman;Times;serif" w:hAnsi="Times New Roman;Times;serif"/>
                <w:b w:val="false"/>
                <w:i w:val="false"/>
                <w:caps w:val="false"/>
                <w:smallCaps w:val="false"/>
                <w:sz w:val="20"/>
              </w:rPr>
              <w:t>disclosure controls and procedures (as defined in Exchange Act Rules 13a-15(e) and 15d-15(e)) and internal control over financial reporting (as defined in Exchange Act Rules 13a-15(f) and 15d-15(f)) for the registrant and have:</w:t>
            </w:r>
          </w:p>
        </w:tc>
      </w:tr>
    </w:tbl>
    <w:p>
      <w:pPr>
        <w:pStyle w:val="TextBody"/>
        <w:bidi w:val="0"/>
        <w:spacing w:lineRule="auto" w:line="285" w:before="0" w:after="0"/>
        <w:ind w:left="72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189"/>
        <w:gridCol w:w="9993"/>
      </w:tblGrid>
      <w:tr>
        <w:trPr/>
        <w:tc>
          <w:tcPr>
            <w:tcW w:w="23"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9993"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w:t>
            </w:r>
            <w:r>
              <w:rPr>
                <w:caps w:val="false"/>
                <w:smallCaps w:val="false"/>
                <w:spacing w:val="-15"/>
              </w:rPr>
              <w:t xml:space="preserve"> </w:t>
            </w:r>
            <w:r>
              <w:rPr>
                <w:rFonts w:ascii="Times New Roman;Times;serif" w:hAnsi="Times New Roman;Times;serif"/>
                <w:b w:val="false"/>
                <w:i w:val="false"/>
                <w:caps w:val="false"/>
                <w:smallCaps w:val="false"/>
                <w:sz w:val="20"/>
              </w:rPr>
              <w:t>prepared;</w:t>
            </w:r>
          </w:p>
        </w:tc>
      </w:tr>
    </w:tbl>
    <w:p>
      <w:pPr>
        <w:pStyle w:val="TextBody"/>
        <w:bidi w:val="0"/>
        <w:spacing w:lineRule="auto" w:line="285" w:before="11" w:after="0"/>
        <w:ind w:left="72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204"/>
        <w:gridCol w:w="9978"/>
      </w:tblGrid>
      <w:tr>
        <w:trPr/>
        <w:tc>
          <w:tcPr>
            <w:tcW w:w="23"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9978"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designed such internal control over financial reporting, or caused such internal control over financial</w:t>
            </w:r>
            <w:r>
              <w:rPr>
                <w:caps w:val="false"/>
                <w:smallCaps w:val="false"/>
                <w:spacing w:val="-4"/>
              </w:rPr>
              <w:t xml:space="preserve"> </w:t>
            </w:r>
            <w:r>
              <w:rPr>
                <w:rFonts w:ascii="Times New Roman;Times;serif" w:hAnsi="Times New Roman;Times;serif"/>
                <w:b w:val="false"/>
                <w:i w:val="false"/>
                <w:caps w:val="false"/>
                <w:smallCaps w:val="false"/>
                <w:sz w:val="20"/>
              </w:rPr>
              <w:t>reporting</w:t>
            </w:r>
            <w:r>
              <w:rPr>
                <w:caps w:val="false"/>
                <w:smallCaps w:val="false"/>
                <w:spacing w:val="-4"/>
              </w:rPr>
              <w:t xml:space="preserve"> </w:t>
            </w:r>
            <w:r>
              <w:rPr>
                <w:rFonts w:ascii="Times New Roman;Times;serif" w:hAnsi="Times New Roman;Times;serif"/>
                <w:b w:val="false"/>
                <w:i w:val="false"/>
                <w:caps w:val="false"/>
                <w:smallCaps w:val="false"/>
                <w:sz w:val="20"/>
              </w:rPr>
              <w:t>to</w:t>
            </w:r>
            <w:r>
              <w:rPr>
                <w:caps w:val="false"/>
                <w:smallCaps w:val="false"/>
                <w:spacing w:val="-2"/>
              </w:rPr>
              <w:t xml:space="preserve"> </w:t>
            </w:r>
            <w:r>
              <w:rPr>
                <w:rFonts w:ascii="Times New Roman;Times;serif" w:hAnsi="Times New Roman;Times;serif"/>
                <w:b w:val="false"/>
                <w:i w:val="false"/>
                <w:caps w:val="false"/>
                <w:smallCaps w:val="false"/>
                <w:sz w:val="20"/>
              </w:rPr>
              <w:t>be</w:t>
            </w:r>
            <w:r>
              <w:rPr>
                <w:caps w:val="false"/>
                <w:smallCaps w:val="false"/>
                <w:spacing w:val="-3"/>
              </w:rPr>
              <w:t xml:space="preserve"> </w:t>
            </w:r>
            <w:r>
              <w:rPr>
                <w:rFonts w:ascii="Times New Roman;Times;serif" w:hAnsi="Times New Roman;Times;serif"/>
                <w:b w:val="false"/>
                <w:i w:val="false"/>
                <w:caps w:val="false"/>
                <w:smallCaps w:val="false"/>
                <w:sz w:val="20"/>
              </w:rPr>
              <w:t>designed</w:t>
            </w:r>
            <w:r>
              <w:rPr>
                <w:caps w:val="false"/>
                <w:smallCaps w:val="false"/>
                <w:spacing w:val="-2"/>
              </w:rPr>
              <w:t xml:space="preserve"> </w:t>
            </w:r>
            <w:r>
              <w:rPr>
                <w:rFonts w:ascii="Times New Roman;Times;serif" w:hAnsi="Times New Roman;Times;serif"/>
                <w:b w:val="false"/>
                <w:i w:val="false"/>
                <w:caps w:val="false"/>
                <w:smallCaps w:val="false"/>
                <w:sz w:val="20"/>
              </w:rPr>
              <w:t>under</w:t>
            </w:r>
            <w:r>
              <w:rPr>
                <w:caps w:val="false"/>
                <w:smallCaps w:val="false"/>
                <w:spacing w:val="-2"/>
              </w:rPr>
              <w:t xml:space="preserve"> </w:t>
            </w:r>
            <w:r>
              <w:rPr>
                <w:rFonts w:ascii="Times New Roman;Times;serif" w:hAnsi="Times New Roman;Times;serif"/>
                <w:b w:val="false"/>
                <w:i w:val="false"/>
                <w:caps w:val="false"/>
                <w:smallCaps w:val="false"/>
                <w:sz w:val="20"/>
              </w:rPr>
              <w:t>our</w:t>
            </w:r>
            <w:r>
              <w:rPr>
                <w:caps w:val="false"/>
                <w:smallCaps w:val="false"/>
                <w:spacing w:val="-3"/>
              </w:rPr>
              <w:t xml:space="preserve"> </w:t>
            </w:r>
            <w:r>
              <w:rPr>
                <w:rFonts w:ascii="Times New Roman;Times;serif" w:hAnsi="Times New Roman;Times;serif"/>
                <w:b w:val="false"/>
                <w:i w:val="false"/>
                <w:caps w:val="false"/>
                <w:smallCaps w:val="false"/>
                <w:sz w:val="20"/>
              </w:rPr>
              <w:t>supervision,</w:t>
            </w:r>
            <w:r>
              <w:rPr>
                <w:caps w:val="false"/>
                <w:smallCaps w:val="false"/>
                <w:spacing w:val="-3"/>
              </w:rPr>
              <w:t xml:space="preserve"> </w:t>
            </w:r>
            <w:r>
              <w:rPr>
                <w:rFonts w:ascii="Times New Roman;Times;serif" w:hAnsi="Times New Roman;Times;serif"/>
                <w:b w:val="false"/>
                <w:i w:val="false"/>
                <w:caps w:val="false"/>
                <w:smallCaps w:val="false"/>
                <w:sz w:val="20"/>
              </w:rPr>
              <w:t>to</w:t>
            </w:r>
            <w:r>
              <w:rPr>
                <w:caps w:val="false"/>
                <w:smallCaps w:val="false"/>
                <w:spacing w:val="-2"/>
              </w:rPr>
              <w:t xml:space="preserve"> </w:t>
            </w:r>
            <w:r>
              <w:rPr>
                <w:rFonts w:ascii="Times New Roman;Times;serif" w:hAnsi="Times New Roman;Times;serif"/>
                <w:b w:val="false"/>
                <w:i w:val="false"/>
                <w:caps w:val="false"/>
                <w:smallCaps w:val="false"/>
                <w:sz w:val="20"/>
              </w:rPr>
              <w:t>provide</w:t>
            </w:r>
            <w:r>
              <w:rPr>
                <w:caps w:val="false"/>
                <w:smallCaps w:val="false"/>
                <w:spacing w:val="-3"/>
              </w:rPr>
              <w:t xml:space="preserve"> </w:t>
            </w:r>
            <w:r>
              <w:rPr>
                <w:rFonts w:ascii="Times New Roman;Times;serif" w:hAnsi="Times New Roman;Times;serif"/>
                <w:b w:val="false"/>
                <w:i w:val="false"/>
                <w:caps w:val="false"/>
                <w:smallCaps w:val="false"/>
                <w:sz w:val="20"/>
              </w:rPr>
              <w:t>reasonable</w:t>
            </w:r>
            <w:r>
              <w:rPr>
                <w:caps w:val="false"/>
                <w:smallCaps w:val="false"/>
                <w:spacing w:val="-3"/>
              </w:rPr>
              <w:t xml:space="preserve"> </w:t>
            </w:r>
            <w:r>
              <w:rPr>
                <w:rFonts w:ascii="Times New Roman;Times;serif" w:hAnsi="Times New Roman;Times;serif"/>
                <w:b w:val="false"/>
                <w:i w:val="false"/>
                <w:caps w:val="false"/>
                <w:smallCaps w:val="false"/>
                <w:sz w:val="20"/>
              </w:rPr>
              <w:t>assurance regarding</w:t>
            </w:r>
            <w:r>
              <w:rPr>
                <w:caps w:val="false"/>
                <w:smallCaps w:val="false"/>
                <w:spacing w:val="-4"/>
              </w:rPr>
              <w:t xml:space="preserve"> </w:t>
            </w:r>
            <w:r>
              <w:rPr>
                <w:rFonts w:ascii="Times New Roman;Times;serif" w:hAnsi="Times New Roman;Times;serif"/>
                <w:b w:val="false"/>
                <w:i w:val="false"/>
                <w:caps w:val="false"/>
                <w:smallCaps w:val="false"/>
                <w:sz w:val="20"/>
              </w:rPr>
              <w:t>the</w:t>
            </w:r>
            <w:r>
              <w:rPr>
                <w:caps w:val="false"/>
                <w:smallCaps w:val="false"/>
                <w:spacing w:val="-3"/>
              </w:rPr>
              <w:t xml:space="preserve"> </w:t>
            </w:r>
            <w:r>
              <w:rPr>
                <w:rFonts w:ascii="Times New Roman;Times;serif" w:hAnsi="Times New Roman;Times;serif"/>
                <w:b w:val="false"/>
                <w:i w:val="false"/>
                <w:caps w:val="false"/>
                <w:smallCaps w:val="false"/>
                <w:sz w:val="20"/>
              </w:rPr>
              <w:t>reliability</w:t>
            </w:r>
            <w:r>
              <w:rPr>
                <w:caps w:val="false"/>
                <w:smallCaps w:val="false"/>
                <w:spacing w:val="-4"/>
              </w:rPr>
              <w:t xml:space="preserve"> </w:t>
            </w:r>
            <w:r>
              <w:rPr>
                <w:rFonts w:ascii="Times New Roman;Times;serif" w:hAnsi="Times New Roman;Times;serif"/>
                <w:b w:val="false"/>
                <w:i w:val="false"/>
                <w:caps w:val="false"/>
                <w:smallCaps w:val="false"/>
                <w:sz w:val="20"/>
              </w:rPr>
              <w:t>of financial reporting and the preparation of financial statements for external purposes in accordance with generally accepted accounting</w:t>
            </w:r>
            <w:r>
              <w:rPr>
                <w:caps w:val="false"/>
                <w:smallCaps w:val="false"/>
                <w:spacing w:val="-11"/>
              </w:rPr>
              <w:t xml:space="preserve"> </w:t>
            </w:r>
            <w:r>
              <w:rPr>
                <w:rFonts w:ascii="Times New Roman;Times;serif" w:hAnsi="Times New Roman;Times;serif"/>
                <w:b w:val="false"/>
                <w:i w:val="false"/>
                <w:caps w:val="false"/>
                <w:smallCaps w:val="false"/>
                <w:sz w:val="20"/>
              </w:rPr>
              <w:t>principles;</w:t>
            </w:r>
          </w:p>
        </w:tc>
      </w:tr>
    </w:tbl>
    <w:p>
      <w:pPr>
        <w:pStyle w:val="TextBody"/>
        <w:bidi w:val="0"/>
        <w:spacing w:lineRule="auto" w:line="285" w:before="0" w:after="0"/>
        <w:ind w:left="72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195"/>
        <w:gridCol w:w="9987"/>
      </w:tblGrid>
      <w:tr>
        <w:trPr/>
        <w:tc>
          <w:tcPr>
            <w:tcW w:w="23"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w:t>
            </w:r>
          </w:p>
        </w:tc>
        <w:tc>
          <w:tcPr>
            <w:tcW w:w="9987"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w:t>
            </w:r>
            <w:r>
              <w:rPr>
                <w:caps w:val="false"/>
                <w:smallCaps w:val="false"/>
                <w:spacing w:val="-21"/>
              </w:rPr>
              <w:t xml:space="preserve"> </w:t>
            </w:r>
            <w:r>
              <w:rPr>
                <w:rFonts w:ascii="Times New Roman;Times;serif" w:hAnsi="Times New Roman;Times;serif"/>
                <w:b w:val="false"/>
                <w:i w:val="false"/>
                <w:caps w:val="false"/>
                <w:smallCaps w:val="false"/>
                <w:sz w:val="20"/>
              </w:rPr>
              <w:t>and</w:t>
            </w:r>
          </w:p>
        </w:tc>
      </w:tr>
    </w:tbl>
    <w:p>
      <w:pPr>
        <w:pStyle w:val="TextBody"/>
        <w:bidi w:val="0"/>
        <w:spacing w:lineRule="auto" w:line="285" w:before="0" w:after="0"/>
        <w:ind w:left="72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204"/>
        <w:gridCol w:w="9978"/>
      </w:tblGrid>
      <w:tr>
        <w:trPr/>
        <w:tc>
          <w:tcPr>
            <w:tcW w:w="23"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w:t>
            </w:r>
          </w:p>
        </w:tc>
        <w:tc>
          <w:tcPr>
            <w:tcW w:w="9978"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disclosed in this report any change in the registrant’s internal control over financial reporting that occurred during the registrant’s most recent fiscal quarter (the registrant’s fourth fiscal quarter in the case of an annual</w:t>
            </w:r>
            <w:r>
              <w:rPr>
                <w:caps w:val="false"/>
                <w:smallCaps w:val="false"/>
                <w:spacing w:val="-3"/>
              </w:rPr>
              <w:t xml:space="preserve"> </w:t>
            </w:r>
            <w:r>
              <w:rPr>
                <w:rFonts w:ascii="Times New Roman;Times;serif" w:hAnsi="Times New Roman;Times;serif"/>
                <w:b w:val="false"/>
                <w:i w:val="false"/>
                <w:caps w:val="false"/>
                <w:smallCaps w:val="false"/>
                <w:sz w:val="20"/>
              </w:rPr>
              <w:t>report)</w:t>
            </w:r>
            <w:r>
              <w:rPr>
                <w:caps w:val="false"/>
                <w:smallCaps w:val="false"/>
                <w:spacing w:val="-3"/>
              </w:rPr>
              <w:t xml:space="preserve"> </w:t>
            </w:r>
            <w:r>
              <w:rPr>
                <w:rFonts w:ascii="Times New Roman;Times;serif" w:hAnsi="Times New Roman;Times;serif"/>
                <w:b w:val="false"/>
                <w:i w:val="false"/>
                <w:caps w:val="false"/>
                <w:smallCaps w:val="false"/>
                <w:sz w:val="20"/>
              </w:rPr>
              <w:t>that</w:t>
            </w:r>
            <w:r>
              <w:rPr>
                <w:caps w:val="false"/>
                <w:smallCaps w:val="false"/>
                <w:spacing w:val="-3"/>
              </w:rPr>
              <w:t xml:space="preserve"> </w:t>
            </w:r>
            <w:r>
              <w:rPr>
                <w:rFonts w:ascii="Times New Roman;Times;serif" w:hAnsi="Times New Roman;Times;serif"/>
                <w:b w:val="false"/>
                <w:i w:val="false"/>
                <w:caps w:val="false"/>
                <w:smallCaps w:val="false"/>
                <w:sz w:val="20"/>
              </w:rPr>
              <w:t>has</w:t>
            </w:r>
            <w:r>
              <w:rPr>
                <w:caps w:val="false"/>
                <w:smallCaps w:val="false"/>
                <w:spacing w:val="-1"/>
              </w:rPr>
              <w:t xml:space="preserve"> </w:t>
            </w:r>
            <w:r>
              <w:rPr>
                <w:rFonts w:ascii="Times New Roman;Times;serif" w:hAnsi="Times New Roman;Times;serif"/>
                <w:b w:val="false"/>
                <w:i w:val="false"/>
                <w:caps w:val="false"/>
                <w:smallCaps w:val="false"/>
                <w:sz w:val="20"/>
              </w:rPr>
              <w:t>materially</w:t>
            </w:r>
            <w:r>
              <w:rPr>
                <w:caps w:val="false"/>
                <w:smallCaps w:val="false"/>
                <w:spacing w:val="-3"/>
              </w:rPr>
              <w:t xml:space="preserve"> </w:t>
            </w:r>
            <w:r>
              <w:rPr>
                <w:rFonts w:ascii="Times New Roman;Times;serif" w:hAnsi="Times New Roman;Times;serif"/>
                <w:b w:val="false"/>
                <w:i w:val="false"/>
                <w:caps w:val="false"/>
                <w:smallCaps w:val="false"/>
                <w:sz w:val="20"/>
              </w:rPr>
              <w:t>affected,</w:t>
            </w:r>
            <w:r>
              <w:rPr>
                <w:caps w:val="false"/>
                <w:smallCaps w:val="false"/>
                <w:spacing w:val="-2"/>
              </w:rPr>
              <w:t xml:space="preserve"> </w:t>
            </w:r>
            <w:r>
              <w:rPr>
                <w:rFonts w:ascii="Times New Roman;Times;serif" w:hAnsi="Times New Roman;Times;serif"/>
                <w:b w:val="false"/>
                <w:i w:val="false"/>
                <w:caps w:val="false"/>
                <w:smallCaps w:val="false"/>
                <w:sz w:val="20"/>
              </w:rPr>
              <w:t>or</w:t>
            </w:r>
            <w:r>
              <w:rPr>
                <w:caps w:val="false"/>
                <w:smallCaps w:val="false"/>
                <w:spacing w:val="-3"/>
              </w:rPr>
              <w:t xml:space="preserve"> </w:t>
            </w:r>
            <w:r>
              <w:rPr>
                <w:rFonts w:ascii="Times New Roman;Times;serif" w:hAnsi="Times New Roman;Times;serif"/>
                <w:b w:val="false"/>
                <w:i w:val="false"/>
                <w:caps w:val="false"/>
                <w:smallCaps w:val="false"/>
                <w:sz w:val="20"/>
              </w:rPr>
              <w:t>is</w:t>
            </w:r>
            <w:r>
              <w:rPr>
                <w:caps w:val="false"/>
                <w:smallCaps w:val="false"/>
                <w:spacing w:val="-4"/>
              </w:rPr>
              <w:t xml:space="preserve"> </w:t>
            </w:r>
            <w:r>
              <w:rPr>
                <w:rFonts w:ascii="Times New Roman;Times;serif" w:hAnsi="Times New Roman;Times;serif"/>
                <w:b w:val="false"/>
                <w:i w:val="false"/>
                <w:caps w:val="false"/>
                <w:smallCaps w:val="false"/>
                <w:sz w:val="20"/>
              </w:rPr>
              <w:t>reasonably</w:t>
            </w:r>
            <w:r>
              <w:rPr>
                <w:caps w:val="false"/>
                <w:smallCaps w:val="false"/>
                <w:spacing w:val="-4"/>
              </w:rPr>
              <w:t xml:space="preserve"> </w:t>
            </w:r>
            <w:r>
              <w:rPr>
                <w:rFonts w:ascii="Times New Roman;Times;serif" w:hAnsi="Times New Roman;Times;serif"/>
                <w:b w:val="false"/>
                <w:i w:val="false"/>
                <w:caps w:val="false"/>
                <w:smallCaps w:val="false"/>
                <w:sz w:val="20"/>
              </w:rPr>
              <w:t>likely</w:t>
            </w:r>
            <w:r>
              <w:rPr>
                <w:caps w:val="false"/>
                <w:smallCaps w:val="false"/>
                <w:spacing w:val="-6"/>
              </w:rPr>
              <w:t xml:space="preserve"> </w:t>
            </w:r>
            <w:r>
              <w:rPr>
                <w:rFonts w:ascii="Times New Roman;Times;serif" w:hAnsi="Times New Roman;Times;serif"/>
                <w:b w:val="false"/>
                <w:i w:val="false"/>
                <w:caps w:val="false"/>
                <w:smallCaps w:val="false"/>
                <w:sz w:val="20"/>
              </w:rPr>
              <w:t>to materially</w:t>
            </w:r>
            <w:r>
              <w:rPr>
                <w:caps w:val="false"/>
                <w:smallCaps w:val="false"/>
                <w:spacing w:val="-4"/>
              </w:rPr>
              <w:t xml:space="preserve"> </w:t>
            </w:r>
            <w:r>
              <w:rPr>
                <w:rFonts w:ascii="Times New Roman;Times;serif" w:hAnsi="Times New Roman;Times;serif"/>
                <w:b w:val="false"/>
                <w:i w:val="false"/>
                <w:caps w:val="false"/>
                <w:smallCaps w:val="false"/>
                <w:sz w:val="20"/>
              </w:rPr>
              <w:t>affect,</w:t>
            </w:r>
            <w:r>
              <w:rPr>
                <w:caps w:val="false"/>
                <w:smallCaps w:val="false"/>
                <w:spacing w:val="-3"/>
              </w:rPr>
              <w:t xml:space="preserve"> </w:t>
            </w:r>
            <w:r>
              <w:rPr>
                <w:rFonts w:ascii="Times New Roman;Times;serif" w:hAnsi="Times New Roman;Times;serif"/>
                <w:b w:val="false"/>
                <w:i w:val="false"/>
                <w:caps w:val="false"/>
                <w:smallCaps w:val="false"/>
                <w:sz w:val="20"/>
              </w:rPr>
              <w:t>the</w:t>
            </w:r>
            <w:r>
              <w:rPr>
                <w:caps w:val="false"/>
                <w:smallCaps w:val="false"/>
                <w:spacing w:val="-3"/>
              </w:rPr>
              <w:t xml:space="preserve"> </w:t>
            </w:r>
            <w:r>
              <w:rPr>
                <w:rFonts w:ascii="Times New Roman;Times;serif" w:hAnsi="Times New Roman;Times;serif"/>
                <w:b w:val="false"/>
                <w:i w:val="false"/>
                <w:caps w:val="false"/>
                <w:smallCaps w:val="false"/>
                <w:sz w:val="20"/>
              </w:rPr>
              <w:t>registrant’s</w:t>
            </w:r>
            <w:r>
              <w:rPr>
                <w:caps w:val="false"/>
                <w:smallCaps w:val="false"/>
                <w:spacing w:val="-4"/>
              </w:rPr>
              <w:t xml:space="preserve"> </w:t>
            </w:r>
            <w:r>
              <w:rPr>
                <w:rFonts w:ascii="Times New Roman;Times;serif" w:hAnsi="Times New Roman;Times;serif"/>
                <w:b w:val="false"/>
                <w:i w:val="false"/>
                <w:caps w:val="false"/>
                <w:smallCaps w:val="false"/>
                <w:sz w:val="20"/>
              </w:rPr>
              <w:t>internal</w:t>
            </w:r>
            <w:r>
              <w:rPr>
                <w:caps w:val="false"/>
                <w:smallCaps w:val="false"/>
                <w:spacing w:val="-4"/>
              </w:rPr>
              <w:t xml:space="preserve"> </w:t>
            </w:r>
            <w:r>
              <w:rPr>
                <w:rFonts w:ascii="Times New Roman;Times;serif" w:hAnsi="Times New Roman;Times;serif"/>
                <w:b w:val="false"/>
                <w:i w:val="false"/>
                <w:caps w:val="false"/>
                <w:smallCaps w:val="false"/>
                <w:sz w:val="20"/>
              </w:rPr>
              <w:t>control over financial reporting;</w:t>
            </w:r>
            <w:r>
              <w:rPr>
                <w:caps w:val="false"/>
                <w:smallCaps w:val="false"/>
                <w:spacing w:val="-16"/>
              </w:rPr>
              <w:t xml:space="preserve"> </w:t>
            </w:r>
            <w:r>
              <w:rPr>
                <w:rFonts w:ascii="Times New Roman;Times;serif" w:hAnsi="Times New Roman;Times;serif"/>
                <w:b w:val="false"/>
                <w:i w:val="false"/>
                <w:caps w:val="false"/>
                <w:smallCaps w:val="false"/>
                <w:sz w:val="20"/>
              </w:rPr>
              <w:t>and</w:t>
            </w:r>
          </w:p>
        </w:tc>
      </w:tr>
    </w:tbl>
    <w:p>
      <w:pPr>
        <w:pStyle w:val="TextBody"/>
        <w:pBdr/>
        <w:bidi w:val="0"/>
        <w:spacing w:lineRule="auto" w:line="285" w:before="10" w:after="0"/>
        <w:ind w:left="0" w:right="0" w:hanging="360"/>
        <w:jc w:val="both"/>
        <w:rPr/>
      </w:pPr>
      <w:r>
        <w:rPr/>
        <w:t>​</w:t>
      </w:r>
    </w:p>
    <w:tbl>
      <w:tblPr>
        <w:tblW w:w="10205" w:type="dxa"/>
        <w:jc w:val="left"/>
        <w:tblInd w:w="0" w:type="dxa"/>
        <w:tblLayout w:type="fixed"/>
        <w:tblCellMar>
          <w:top w:w="0" w:type="dxa"/>
          <w:left w:w="0" w:type="dxa"/>
          <w:bottom w:w="0" w:type="dxa"/>
          <w:right w:w="0" w:type="dxa"/>
        </w:tblCellMar>
      </w:tblPr>
      <w:tblGrid>
        <w:gridCol w:w="209"/>
        <w:gridCol w:w="9996"/>
      </w:tblGrid>
      <w:tr>
        <w:trPr/>
        <w:tc>
          <w:tcPr>
            <w:tcW w:w="20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w:t>
            </w:r>
          </w:p>
        </w:tc>
        <w:tc>
          <w:tcPr>
            <w:tcW w:w="9996"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The registrant’s other certifying officer(s) and I have disclosed, based on our most recent evaluation of internal</w:t>
            </w:r>
            <w:r>
              <w:rPr>
                <w:caps w:val="false"/>
                <w:smallCaps w:val="false"/>
                <w:spacing w:val="-4"/>
              </w:rPr>
              <w:t xml:space="preserve"> </w:t>
            </w:r>
            <w:r>
              <w:rPr>
                <w:rFonts w:ascii="Times New Roman;Times;serif" w:hAnsi="Times New Roman;Times;serif"/>
                <w:b w:val="false"/>
                <w:i w:val="false"/>
                <w:caps w:val="false"/>
                <w:smallCaps w:val="false"/>
                <w:sz w:val="20"/>
              </w:rPr>
              <w:t>control</w:t>
            </w:r>
            <w:r>
              <w:rPr>
                <w:caps w:val="false"/>
                <w:smallCaps w:val="false"/>
                <w:spacing w:val="-4"/>
              </w:rPr>
              <w:t xml:space="preserve"> </w:t>
            </w:r>
            <w:r>
              <w:rPr>
                <w:rFonts w:ascii="Times New Roman;Times;serif" w:hAnsi="Times New Roman;Times;serif"/>
                <w:b w:val="false"/>
                <w:i w:val="false"/>
                <w:caps w:val="false"/>
                <w:smallCaps w:val="false"/>
                <w:sz w:val="20"/>
              </w:rPr>
              <w:t>over</w:t>
            </w:r>
            <w:r>
              <w:rPr>
                <w:caps w:val="false"/>
                <w:smallCaps w:val="false"/>
                <w:spacing w:val="-2"/>
              </w:rPr>
              <w:t xml:space="preserve"> </w:t>
            </w:r>
            <w:r>
              <w:rPr>
                <w:rFonts w:ascii="Times New Roman;Times;serif" w:hAnsi="Times New Roman;Times;serif"/>
                <w:b w:val="false"/>
                <w:i w:val="false"/>
                <w:caps w:val="false"/>
                <w:smallCaps w:val="false"/>
                <w:sz w:val="20"/>
              </w:rPr>
              <w:t>financial</w:t>
            </w:r>
            <w:r>
              <w:rPr>
                <w:caps w:val="false"/>
                <w:smallCaps w:val="false"/>
                <w:spacing w:val="-1"/>
              </w:rPr>
              <w:t xml:space="preserve"> </w:t>
            </w:r>
            <w:r>
              <w:rPr>
                <w:rFonts w:ascii="Times New Roman;Times;serif" w:hAnsi="Times New Roman;Times;serif"/>
                <w:b w:val="false"/>
                <w:i w:val="false"/>
                <w:caps w:val="false"/>
                <w:smallCaps w:val="false"/>
                <w:sz w:val="20"/>
              </w:rPr>
              <w:t>reporting,</w:t>
            </w:r>
            <w:r>
              <w:rPr>
                <w:caps w:val="false"/>
                <w:smallCaps w:val="false"/>
                <w:spacing w:val="-3"/>
              </w:rPr>
              <w:t xml:space="preserve"> </w:t>
            </w:r>
            <w:r>
              <w:rPr>
                <w:rFonts w:ascii="Times New Roman;Times;serif" w:hAnsi="Times New Roman;Times;serif"/>
                <w:b w:val="false"/>
                <w:i w:val="false"/>
                <w:caps w:val="false"/>
                <w:smallCaps w:val="false"/>
                <w:sz w:val="20"/>
              </w:rPr>
              <w:t>to</w:t>
            </w:r>
            <w:r>
              <w:rPr>
                <w:caps w:val="false"/>
                <w:smallCaps w:val="false"/>
                <w:spacing w:val="-2"/>
              </w:rPr>
              <w:t xml:space="preserve"> </w:t>
            </w:r>
            <w:r>
              <w:rPr>
                <w:rFonts w:ascii="Times New Roman;Times;serif" w:hAnsi="Times New Roman;Times;serif"/>
                <w:b w:val="false"/>
                <w:i w:val="false"/>
                <w:caps w:val="false"/>
                <w:smallCaps w:val="false"/>
                <w:sz w:val="20"/>
              </w:rPr>
              <w:t>the</w:t>
            </w:r>
            <w:r>
              <w:rPr>
                <w:caps w:val="false"/>
                <w:smallCaps w:val="false"/>
                <w:spacing w:val="-3"/>
              </w:rPr>
              <w:t xml:space="preserve"> </w:t>
            </w:r>
            <w:r>
              <w:rPr>
                <w:rFonts w:ascii="Times New Roman;Times;serif" w:hAnsi="Times New Roman;Times;serif"/>
                <w:b w:val="false"/>
                <w:i w:val="false"/>
                <w:caps w:val="false"/>
                <w:smallCaps w:val="false"/>
                <w:sz w:val="20"/>
              </w:rPr>
              <w:t>registrant’s</w:t>
            </w:r>
            <w:r>
              <w:rPr>
                <w:caps w:val="false"/>
                <w:smallCaps w:val="false"/>
                <w:spacing w:val="-4"/>
              </w:rPr>
              <w:t xml:space="preserve"> </w:t>
            </w:r>
            <w:r>
              <w:rPr>
                <w:rFonts w:ascii="Times New Roman;Times;serif" w:hAnsi="Times New Roman;Times;serif"/>
                <w:b w:val="false"/>
                <w:i w:val="false"/>
                <w:caps w:val="false"/>
                <w:smallCaps w:val="false"/>
                <w:sz w:val="20"/>
              </w:rPr>
              <w:t>auditors</w:t>
            </w:r>
            <w:r>
              <w:rPr>
                <w:caps w:val="false"/>
                <w:smallCaps w:val="false"/>
                <w:spacing w:val="-4"/>
              </w:rPr>
              <w:t xml:space="preserve"> </w:t>
            </w:r>
            <w:r>
              <w:rPr>
                <w:rFonts w:ascii="Times New Roman;Times;serif" w:hAnsi="Times New Roman;Times;serif"/>
                <w:b w:val="false"/>
                <w:i w:val="false"/>
                <w:caps w:val="false"/>
                <w:smallCaps w:val="false"/>
                <w:sz w:val="20"/>
              </w:rPr>
              <w:t>and</w:t>
            </w:r>
            <w:r>
              <w:rPr>
                <w:caps w:val="false"/>
                <w:smallCaps w:val="false"/>
                <w:spacing w:val="-2"/>
              </w:rPr>
              <w:t xml:space="preserve"> </w:t>
            </w:r>
            <w:r>
              <w:rPr>
                <w:rFonts w:ascii="Times New Roman;Times;serif" w:hAnsi="Times New Roman;Times;serif"/>
                <w:b w:val="false"/>
                <w:i w:val="false"/>
                <w:caps w:val="false"/>
                <w:smallCaps w:val="false"/>
                <w:sz w:val="20"/>
              </w:rPr>
              <w:t>the</w:t>
            </w:r>
            <w:r>
              <w:rPr>
                <w:caps w:val="false"/>
                <w:smallCaps w:val="false"/>
                <w:spacing w:val="-3"/>
              </w:rPr>
              <w:t xml:space="preserve"> </w:t>
            </w:r>
            <w:r>
              <w:rPr>
                <w:rFonts w:ascii="Times New Roman;Times;serif" w:hAnsi="Times New Roman;Times;serif"/>
                <w:b w:val="false"/>
                <w:i w:val="false"/>
                <w:caps w:val="false"/>
                <w:smallCaps w:val="false"/>
                <w:sz w:val="20"/>
              </w:rPr>
              <w:t>audit</w:t>
            </w:r>
            <w:r>
              <w:rPr>
                <w:caps w:val="false"/>
                <w:smallCaps w:val="false"/>
                <w:spacing w:val="-4"/>
              </w:rPr>
              <w:t xml:space="preserve"> </w:t>
            </w:r>
            <w:r>
              <w:rPr>
                <w:rFonts w:ascii="Times New Roman;Times;serif" w:hAnsi="Times New Roman;Times;serif"/>
                <w:b w:val="false"/>
                <w:i w:val="false"/>
                <w:caps w:val="false"/>
                <w:smallCaps w:val="false"/>
                <w:sz w:val="20"/>
              </w:rPr>
              <w:t>committee</w:t>
            </w:r>
            <w:r>
              <w:rPr>
                <w:caps w:val="false"/>
                <w:smallCaps w:val="false"/>
                <w:spacing w:val="-3"/>
              </w:rPr>
              <w:t xml:space="preserve"> </w:t>
            </w:r>
            <w:r>
              <w:rPr>
                <w:rFonts w:ascii="Times New Roman;Times;serif" w:hAnsi="Times New Roman;Times;serif"/>
                <w:b w:val="false"/>
                <w:i w:val="false"/>
                <w:caps w:val="false"/>
                <w:smallCaps w:val="false"/>
                <w:sz w:val="20"/>
              </w:rPr>
              <w:t>of</w:t>
            </w:r>
            <w:r>
              <w:rPr>
                <w:caps w:val="false"/>
                <w:smallCaps w:val="false"/>
                <w:spacing w:val="-5"/>
              </w:rPr>
              <w:t xml:space="preserve"> </w:t>
            </w:r>
            <w:r>
              <w:rPr>
                <w:rFonts w:ascii="Times New Roman;Times;serif" w:hAnsi="Times New Roman;Times;serif"/>
                <w:b w:val="false"/>
                <w:i w:val="false"/>
                <w:caps w:val="false"/>
                <w:smallCaps w:val="false"/>
                <w:sz w:val="20"/>
              </w:rPr>
              <w:t>the</w:t>
            </w:r>
            <w:r>
              <w:rPr>
                <w:caps w:val="false"/>
                <w:smallCaps w:val="false"/>
                <w:spacing w:val="-3"/>
              </w:rPr>
              <w:t xml:space="preserve"> </w:t>
            </w:r>
            <w:r>
              <w:rPr>
                <w:rFonts w:ascii="Times New Roman;Times;serif" w:hAnsi="Times New Roman;Times;serif"/>
                <w:b w:val="false"/>
                <w:i w:val="false"/>
                <w:caps w:val="false"/>
                <w:smallCaps w:val="false"/>
                <w:sz w:val="20"/>
              </w:rPr>
              <w:t>registrant’s</w:t>
            </w:r>
            <w:r>
              <w:rPr>
                <w:caps w:val="false"/>
                <w:smallCaps w:val="false"/>
                <w:spacing w:val="-4"/>
              </w:rPr>
              <w:t xml:space="preserve"> </w:t>
            </w:r>
            <w:r>
              <w:rPr>
                <w:rFonts w:ascii="Times New Roman;Times;serif" w:hAnsi="Times New Roman;Times;serif"/>
                <w:b w:val="false"/>
                <w:i w:val="false"/>
                <w:caps w:val="false"/>
                <w:smallCaps w:val="false"/>
                <w:sz w:val="20"/>
              </w:rPr>
              <w:t>board of directors (or persons performing the equivalent</w:t>
            </w:r>
            <w:r>
              <w:rPr>
                <w:caps w:val="false"/>
                <w:smallCaps w:val="false"/>
                <w:spacing w:val="-22"/>
              </w:rPr>
              <w:t xml:space="preserve"> </w:t>
            </w:r>
            <w:r>
              <w:rPr>
                <w:rFonts w:ascii="Times New Roman;Times;serif" w:hAnsi="Times New Roman;Times;serif"/>
                <w:b w:val="false"/>
                <w:i w:val="false"/>
                <w:caps w:val="false"/>
                <w:smallCaps w:val="false"/>
                <w:sz w:val="20"/>
              </w:rPr>
              <w:t>functions):</w:t>
            </w:r>
          </w:p>
        </w:tc>
      </w:tr>
    </w:tbl>
    <w:p>
      <w:pPr>
        <w:pStyle w:val="TextBody"/>
        <w:pBdr/>
        <w:bidi w:val="0"/>
        <w:spacing w:lineRule="auto" w:line="285" w:before="11" w:after="0"/>
        <w:ind w:left="0" w:right="0" w:hanging="360"/>
        <w:jc w:val="both"/>
        <w:rPr/>
      </w:pPr>
      <w:r>
        <w:rPr/>
        <w:t>​</w:t>
      </w:r>
    </w:p>
    <w:tbl>
      <w:tblPr>
        <w:tblW w:w="10205" w:type="dxa"/>
        <w:jc w:val="left"/>
        <w:tblInd w:w="0" w:type="dxa"/>
        <w:tblLayout w:type="fixed"/>
        <w:tblCellMar>
          <w:top w:w="0" w:type="dxa"/>
          <w:left w:w="0" w:type="dxa"/>
          <w:bottom w:w="0" w:type="dxa"/>
          <w:right w:w="0" w:type="dxa"/>
        </w:tblCellMar>
      </w:tblPr>
      <w:tblGrid>
        <w:gridCol w:w="23"/>
        <w:gridCol w:w="196"/>
        <w:gridCol w:w="9986"/>
      </w:tblGrid>
      <w:tr>
        <w:trPr/>
        <w:tc>
          <w:tcPr>
            <w:tcW w:w="2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9986"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all significant deficiencies and material weaknesses in the design or operation of internal control</w:t>
            </w:r>
            <w:r>
              <w:rPr>
                <w:caps w:val="false"/>
                <w:smallCaps w:val="false"/>
                <w:spacing w:val="-34"/>
              </w:rPr>
              <w:t xml:space="preserve"> </w:t>
            </w:r>
            <w:r>
              <w:rPr>
                <w:rFonts w:ascii="Times New Roman;Times;serif" w:hAnsi="Times New Roman;Times;serif"/>
                <w:b w:val="false"/>
                <w:i w:val="false"/>
                <w:caps w:val="false"/>
                <w:smallCaps w:val="false"/>
                <w:sz w:val="20"/>
              </w:rPr>
              <w:t>over financial reporting which are reasonably likely to adversely affect the registrant’s ability to record, process, summarize and report financial information;</w:t>
            </w:r>
            <w:r>
              <w:rPr>
                <w:caps w:val="false"/>
                <w:smallCaps w:val="false"/>
                <w:spacing w:val="-16"/>
              </w:rPr>
              <w:t xml:space="preserve"> </w:t>
            </w:r>
            <w:r>
              <w:rPr>
                <w:rFonts w:ascii="Times New Roman;Times;serif" w:hAnsi="Times New Roman;Times;serif"/>
                <w:b w:val="false"/>
                <w:i w:val="false"/>
                <w:caps w:val="false"/>
                <w:smallCaps w:val="false"/>
                <w:sz w:val="20"/>
              </w:rPr>
              <w:t>and</w:t>
            </w:r>
          </w:p>
        </w:tc>
      </w:tr>
    </w:tbl>
    <w:p>
      <w:pPr>
        <w:pStyle w:val="TextBody"/>
        <w:bidi w:val="0"/>
        <w:spacing w:lineRule="auto" w:line="285" w:before="0" w:after="0"/>
        <w:ind w:left="729"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227"/>
        <w:gridCol w:w="9955"/>
      </w:tblGrid>
      <w:tr>
        <w:trPr/>
        <w:tc>
          <w:tcPr>
            <w:tcW w:w="23"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9955"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any fraud, whether or not material, that involves management or other employees who have</w:t>
            </w:r>
            <w:r>
              <w:rPr>
                <w:caps w:val="false"/>
                <w:smallCaps w:val="false"/>
                <w:spacing w:val="-30"/>
              </w:rPr>
              <w:t xml:space="preserve"> </w:t>
            </w:r>
            <w:r>
              <w:rPr>
                <w:rFonts w:ascii="Times New Roman;Times;serif" w:hAnsi="Times New Roman;Times;serif"/>
                <w:b w:val="false"/>
                <w:i w:val="false"/>
                <w:caps w:val="false"/>
                <w:smallCaps w:val="false"/>
                <w:sz w:val="20"/>
              </w:rPr>
              <w:t>a significant role in the registrant’s internal control over financial</w:t>
            </w:r>
            <w:r>
              <w:rPr>
                <w:caps w:val="false"/>
                <w:smallCaps w:val="false"/>
                <w:spacing w:val="-29"/>
              </w:rPr>
              <w:t xml:space="preserve"> </w:t>
            </w:r>
            <w:r>
              <w:rPr>
                <w:rFonts w:ascii="Times New Roman;Times;serif" w:hAnsi="Times New Roman;Times;serif"/>
                <w:b w:val="false"/>
                <w:i w:val="false"/>
                <w:caps w:val="false"/>
                <w:smallCaps w:val="false"/>
                <w:sz w:val="20"/>
              </w:rPr>
              <w:t>reporting.</w:t>
            </w:r>
          </w:p>
        </w:tc>
      </w:tr>
    </w:tbl>
    <w:p>
      <w:pPr>
        <w:pStyle w:val="TextBody"/>
        <w:bidi w:val="0"/>
        <w:spacing w:lineRule="auto" w:line="285" w:before="0" w:after="0"/>
        <w:ind w:left="0" w:right="0" w:hanging="0"/>
        <w:jc w:val="both"/>
        <w:rPr/>
      </w:pPr>
      <w:r>
        <w:rPr/>
        <w:t>​</w:t>
      </w:r>
    </w:p>
    <w:p>
      <w:pPr>
        <w:pStyle w:val="TextBody"/>
        <w:bidi w:val="0"/>
        <w:spacing w:lineRule="auto" w:line="285" w:before="0" w:after="0"/>
        <w:ind w:left="0" w:right="0" w:hanging="0"/>
        <w:jc w:val="both"/>
        <w:rPr/>
      </w:pPr>
      <w:r>
        <w:rPr/>
        <w:t>​</w:t>
      </w:r>
    </w:p>
    <w:tbl>
      <w:tblPr>
        <w:tblW w:w="4262" w:type="dxa"/>
        <w:jc w:val="left"/>
        <w:tblInd w:w="0" w:type="dxa"/>
        <w:tblLayout w:type="fixed"/>
        <w:tblCellMar>
          <w:top w:w="0" w:type="dxa"/>
          <w:left w:w="0" w:type="dxa"/>
          <w:bottom w:w="0" w:type="dxa"/>
          <w:right w:w="0" w:type="dxa"/>
        </w:tblCellMar>
      </w:tblPr>
      <w:tblGrid>
        <w:gridCol w:w="1846"/>
        <w:gridCol w:w="2416"/>
      </w:tblGrid>
      <w:tr>
        <w:trPr/>
        <w:tc>
          <w:tcPr>
            <w:tcW w:w="1846" w:type="dxa"/>
            <w:tcBorders/>
            <w:vAlign w:val="center"/>
          </w:tcPr>
          <w:p>
            <w:pPr>
              <w:pStyle w:val="TableContents"/>
              <w:bidi w:val="0"/>
              <w:spacing w:lineRule="auto" w:line="285" w:before="0" w:after="0"/>
              <w:ind w:left="0" w:right="0" w:hanging="0"/>
              <w:jc w:val="left"/>
              <w:rPr/>
            </w:pPr>
            <w:r>
              <w:rPr/>
              <w:t>​</w:t>
            </w:r>
          </w:p>
        </w:tc>
        <w:tc>
          <w:tcPr>
            <w:tcW w:w="2416" w:type="dxa"/>
            <w:tcBorders/>
            <w:vAlign w:val="center"/>
          </w:tcPr>
          <w:p>
            <w:pPr>
              <w:pStyle w:val="TableContents"/>
              <w:bidi w:val="0"/>
              <w:spacing w:lineRule="auto" w:line="285" w:before="0" w:after="0"/>
              <w:ind w:left="0" w:right="0" w:hanging="0"/>
              <w:jc w:val="left"/>
              <w:rPr/>
            </w:pPr>
            <w:r>
              <w:rPr/>
              <w:t>​</w:t>
            </w:r>
          </w:p>
        </w:tc>
      </w:tr>
      <w:tr>
        <w:trPr/>
        <w:tc>
          <w:tcPr>
            <w:tcW w:w="1846" w:type="dxa"/>
            <w:tcBorders/>
            <w:vAlign w:val="center"/>
          </w:tcPr>
          <w:p>
            <w:pPr>
              <w:pStyle w:val="TableContents"/>
              <w:bidi w:val="0"/>
              <w:spacing w:lineRule="auto" w:line="285" w:before="0" w:after="0"/>
              <w:ind w:left="0" w:right="0" w:hanging="0"/>
              <w:jc w:val="both"/>
              <w:rPr>
                <w:rFonts w:ascii="Times New Roman;Times;serif" w:hAnsi="Times New Roman;Times;serif"/>
                <w:sz w:val="20"/>
              </w:rPr>
            </w:pPr>
            <w:r>
              <w:rPr>
                <w:rFonts w:ascii="Times New Roman;Times;serif" w:hAnsi="Times New Roman;Times;serif"/>
                <w:sz w:val="20"/>
              </w:rPr>
              <w:t>Date: August 6, 2026</w:t>
            </w:r>
          </w:p>
        </w:tc>
        <w:tc>
          <w:tcPr>
            <w:tcW w:w="2416" w:type="dxa"/>
            <w:tcBorders>
              <w:bottom w:val="single" w:sz="2" w:space="0" w:color="000000"/>
            </w:tcBorders>
            <w:tcMar>
              <w:bottom w:w="28" w:type="dxa"/>
            </w:tcMar>
            <w:vAlign w:val="center"/>
          </w:tcPr>
          <w:p>
            <w:pPr>
              <w:pStyle w:val="TableContents"/>
              <w:bidi w:val="0"/>
              <w:spacing w:lineRule="auto" w:line="285" w:before="0" w:after="0"/>
              <w:ind w:left="0" w:right="0" w:hanging="0"/>
              <w:jc w:val="both"/>
              <w:rPr>
                <w:rFonts w:ascii="Times New Roman;Times;serif" w:hAnsi="Times New Roman;Times;serif"/>
                <w:sz w:val="20"/>
              </w:rPr>
            </w:pPr>
            <w:r>
              <w:rPr>
                <w:rFonts w:ascii="Times New Roman;Times;serif" w:hAnsi="Times New Roman;Times;serif"/>
                <w:sz w:val="20"/>
              </w:rPr>
              <w:t>/s/ Marshall Woodworth</w:t>
            </w:r>
          </w:p>
        </w:tc>
      </w:tr>
      <w:tr>
        <w:trPr/>
        <w:tc>
          <w:tcPr>
            <w:tcW w:w="1846" w:type="dxa"/>
            <w:tcBorders/>
            <w:vAlign w:val="center"/>
          </w:tcPr>
          <w:p>
            <w:pPr>
              <w:pStyle w:val="TableContents"/>
              <w:bidi w:val="0"/>
              <w:spacing w:lineRule="auto" w:line="285" w:before="0" w:after="0"/>
              <w:ind w:left="0" w:right="0" w:hanging="0"/>
              <w:jc w:val="both"/>
              <w:rPr/>
            </w:pPr>
            <w:r>
              <w:rPr/>
              <w:t>​</w:t>
            </w:r>
          </w:p>
        </w:tc>
        <w:tc>
          <w:tcPr>
            <w:tcW w:w="2416" w:type="dxa"/>
            <w:tcBorders>
              <w:top w:val="single" w:sz="2" w:space="0" w:color="000000"/>
            </w:tcBorders>
            <w:tcMar>
              <w:top w:w="28" w:type="dxa"/>
            </w:tcMar>
            <w:vAlign w:val="center"/>
          </w:tcPr>
          <w:p>
            <w:pPr>
              <w:pStyle w:val="TableContents"/>
              <w:bidi w:val="0"/>
              <w:spacing w:lineRule="auto" w:line="285" w:before="0" w:after="0"/>
              <w:ind w:left="0" w:right="0" w:hanging="0"/>
              <w:jc w:val="both"/>
              <w:rPr>
                <w:rFonts w:ascii="Times New Roman;Times;serif" w:hAnsi="Times New Roman;Times;serif"/>
                <w:sz w:val="20"/>
              </w:rPr>
            </w:pPr>
            <w:r>
              <w:rPr>
                <w:rFonts w:ascii="Times New Roman;Times;serif" w:hAnsi="Times New Roman;Times;serif"/>
                <w:sz w:val="20"/>
              </w:rPr>
              <w:t>Chief Financial Officer</w:t>
            </w:r>
          </w:p>
        </w:tc>
      </w:tr>
      <w:tr>
        <w:trPr/>
        <w:tc>
          <w:tcPr>
            <w:tcW w:w="1846" w:type="dxa"/>
            <w:tcBorders/>
            <w:vAlign w:val="center"/>
          </w:tcPr>
          <w:p>
            <w:pPr>
              <w:pStyle w:val="TableContents"/>
              <w:bidi w:val="0"/>
              <w:spacing w:lineRule="auto" w:line="285" w:before="0" w:after="0"/>
              <w:ind w:left="0" w:right="0" w:hanging="0"/>
              <w:jc w:val="both"/>
              <w:rPr/>
            </w:pPr>
            <w:r>
              <w:rPr/>
              <w:t>​</w:t>
            </w:r>
          </w:p>
        </w:tc>
        <w:tc>
          <w:tcPr>
            <w:tcW w:w="2416" w:type="dxa"/>
            <w:tcBorders/>
            <w:vAlign w:val="center"/>
          </w:tcPr>
          <w:p>
            <w:pPr>
              <w:pStyle w:val="TableContents"/>
              <w:bidi w:val="0"/>
              <w:spacing w:lineRule="auto" w:line="285" w:before="0" w:after="0"/>
              <w:ind w:left="0" w:right="0" w:hanging="0"/>
              <w:jc w:val="both"/>
              <w:rPr>
                <w:rFonts w:ascii="Times New Roman;Times;serif" w:hAnsi="Times New Roman;Times;serif"/>
                <w:sz w:val="20"/>
              </w:rPr>
            </w:pPr>
            <w:r>
              <w:rPr>
                <w:rFonts w:ascii="Times New Roman;Times;serif" w:hAnsi="Times New Roman;Times;serif"/>
                <w:sz w:val="20"/>
              </w:rPr>
              <w:t>(Principal Financial Officer)</w:t>
            </w:r>
          </w:p>
        </w:tc>
      </w:tr>
      <w:tr>
        <w:trPr/>
        <w:tc>
          <w:tcPr>
            <w:tcW w:w="1846" w:type="dxa"/>
            <w:tcBorders/>
            <w:vAlign w:val="center"/>
          </w:tcPr>
          <w:p>
            <w:pPr>
              <w:pStyle w:val="TableContents"/>
              <w:bidi w:val="0"/>
              <w:spacing w:lineRule="auto" w:line="285" w:before="0" w:after="0"/>
              <w:ind w:left="0" w:right="0" w:hanging="0"/>
              <w:jc w:val="left"/>
              <w:rPr/>
            </w:pPr>
            <w:r>
              <w:rPr/>
              <w:t>​</w:t>
            </w:r>
          </w:p>
        </w:tc>
        <w:tc>
          <w:tcPr>
            <w:tcW w:w="2416"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right"/>
        <w:rPr>
          <w:rFonts w:ascii="Times New Roman;Times;serif" w:hAnsi="Times New Roman;Times;serif"/>
          <w:sz w:val="20"/>
        </w:rPr>
      </w:pPr>
      <w:bookmarkStart w:id="841" w:name="mtva-20260630xex32d1.htm"/>
      <w:bookmarkStart w:id="842" w:name="ksmtva20260630xex32d1"/>
      <w:bookmarkEnd w:id="841"/>
      <w:bookmarkEnd w:id="842"/>
      <w:r>
        <w:rPr>
          <w:rFonts w:ascii="Times New Roman;Times;serif" w:hAnsi="Times New Roman;Times;serif"/>
          <w:sz w:val="20"/>
        </w:rPr>
        <w:t>Exhibit 32.1</w:t>
      </w:r>
      <w:r>
        <w:br w:type="page"/>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Certification of Chief Executive Officer</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under Section 906 of the Sarbanes-Oxley Act of 2002</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(18 U.S.C. § 1350)</w:t>
      </w:r>
    </w:p>
    <w:p>
      <w:pPr>
        <w:pStyle w:val="TextBody"/>
        <w:bidi w:val="0"/>
        <w:spacing w:lineRule="auto" w:line="292" w:before="0" w:after="0"/>
        <w:ind w:left="0" w:right="362" w:hanging="0"/>
        <w:jc w:val="left"/>
        <w:rPr/>
      </w:pPr>
      <w:r>
        <w:rPr/>
        <w:t>​</w:t>
      </w:r>
    </w:p>
    <w:p>
      <w:pPr>
        <w:pStyle w:val="TextBody"/>
        <w:bidi w:val="0"/>
        <w:spacing w:lineRule="auto" w:line="290" w:before="0" w:after="0"/>
        <w:ind w:left="0" w:right="362" w:hanging="0"/>
        <w:jc w:val="both"/>
        <w:rPr>
          <w:rFonts w:ascii="Times New Roman;Times;serif" w:hAnsi="Times New Roman;Times;serif"/>
          <w:sz w:val="20"/>
        </w:rPr>
      </w:pPr>
      <w:r>
        <w:rPr>
          <w:rFonts w:ascii="Times New Roman;Times;serif" w:hAnsi="Times New Roman;Times;serif"/>
          <w:sz w:val="20"/>
        </w:rPr>
        <w:t>In connection with the quarterly report on Form 10-Q for the quarterly period ended June 30, 2026 of MetaVia Inc. (the “Company”) as filed with the Securities and Exchange Commission (the “Report”), I, Hyung Heon Kim, President and Chief Executive Officer, certify, pursuant to 18 U.S.C. § 1350, as adopted pursuant to § 906 of the Sarbanes-Oxley Act of 2002, that:</w:t>
      </w:r>
    </w:p>
    <w:p>
      <w:pPr>
        <w:pStyle w:val="TextBody"/>
        <w:bidi w:val="0"/>
        <w:spacing w:lineRule="auto" w:line="290" w:before="0" w:after="0"/>
        <w:ind w:left="300" w:right="362" w:firstLine="420"/>
        <w:jc w:val="both"/>
        <w:rPr/>
      </w:pPr>
      <w:r>
        <w:rPr/>
        <w:t>​</w:t>
      </w:r>
    </w:p>
    <w:tbl>
      <w:tblPr>
        <w:tblW w:w="9821" w:type="dxa"/>
        <w:jc w:val="left"/>
        <w:tblInd w:w="0" w:type="dxa"/>
        <w:tblLayout w:type="fixed"/>
        <w:tblCellMar>
          <w:top w:w="0" w:type="dxa"/>
          <w:left w:w="0" w:type="dxa"/>
          <w:bottom w:w="0" w:type="dxa"/>
          <w:right w:w="0" w:type="dxa"/>
        </w:tblCellMar>
      </w:tblPr>
      <w:tblGrid>
        <w:gridCol w:w="23"/>
        <w:gridCol w:w="245"/>
        <w:gridCol w:w="9530"/>
        <w:gridCol w:w="23"/>
      </w:tblGrid>
      <w:tr>
        <w:trPr/>
        <w:tc>
          <w:tcPr>
            <w:tcW w:w="23"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5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Report fully complies with the requirements of Section 13(a) or 15(d) of the Securities Exchange Act of 1934; and</w:t>
            </w:r>
          </w:p>
        </w:tc>
        <w:tc>
          <w:tcPr>
            <w:tcW w:w="23"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90" w:before="0" w:after="0"/>
        <w:ind w:left="720" w:right="362"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235"/>
        <w:gridCol w:w="9923"/>
        <w:gridCol w:w="24"/>
      </w:tblGrid>
      <w:tr>
        <w:trPr/>
        <w:tc>
          <w:tcPr>
            <w:tcW w:w="23"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992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contained in the Report fairly presents, in all material respects, the financial condition and results of operations of the Company.</w:t>
            </w:r>
          </w:p>
        </w:tc>
        <w:tc>
          <w:tcPr>
            <w:tcW w:w="24" w:type="dxa"/>
            <w:tcBorders/>
            <w:vAlign w:val="center"/>
          </w:tcPr>
          <w:p>
            <w:pPr>
              <w:pStyle w:val="TableContents"/>
              <w:bidi w:val="0"/>
              <w:spacing w:before="0" w:after="283"/>
              <w:jc w:val="left"/>
              <w:rPr>
                <w:sz w:val="4"/>
                <w:szCs w:val="4"/>
              </w:rPr>
            </w:pPr>
            <w:r>
              <w:rPr>
                <w:sz w:val="4"/>
                <w:szCs w:val="4"/>
              </w:rPr>
            </w:r>
          </w:p>
        </w:tc>
      </w:tr>
    </w:tbl>
    <w:p>
      <w:pPr>
        <w:pStyle w:val="TextBody"/>
        <w:pBdr/>
        <w:bidi w:val="0"/>
        <w:spacing w:before="0" w:after="0"/>
        <w:ind w:left="720" w:right="0" w:hanging="360"/>
        <w:jc w:val="both"/>
        <w:rPr/>
      </w:pPr>
      <w:r>
        <w:rPr/>
        <w:t>​</w:t>
      </w:r>
    </w:p>
    <w:p>
      <w:pPr>
        <w:pStyle w:val="TextBody"/>
        <w:bidi w:val="0"/>
        <w:spacing w:before="0" w:after="0"/>
        <w:ind w:left="0" w:right="0" w:hanging="0"/>
        <w:jc w:val="both"/>
        <w:rPr/>
      </w:pPr>
      <w:r>
        <w:rPr/>
        <w:t>​</w:t>
      </w:r>
    </w:p>
    <w:tbl>
      <w:tblPr>
        <w:tblW w:w="5057" w:type="dxa"/>
        <w:jc w:val="left"/>
        <w:tblInd w:w="0" w:type="dxa"/>
        <w:tblLayout w:type="fixed"/>
        <w:tblCellMar>
          <w:top w:w="0" w:type="dxa"/>
          <w:left w:w="0" w:type="dxa"/>
          <w:bottom w:w="0" w:type="dxa"/>
          <w:right w:w="0" w:type="dxa"/>
        </w:tblCellMar>
      </w:tblPr>
      <w:tblGrid>
        <w:gridCol w:w="1846"/>
        <w:gridCol w:w="3211"/>
      </w:tblGrid>
      <w:tr>
        <w:trPr/>
        <w:tc>
          <w:tcPr>
            <w:tcW w:w="1846" w:type="dxa"/>
            <w:tcBorders/>
            <w:vAlign w:val="center"/>
          </w:tcPr>
          <w:p>
            <w:pPr>
              <w:pStyle w:val="TableContents"/>
              <w:bidi w:val="0"/>
              <w:spacing w:before="0" w:after="0"/>
              <w:ind w:left="0" w:right="0" w:hanging="0"/>
              <w:jc w:val="left"/>
              <w:rPr/>
            </w:pPr>
            <w:r>
              <w:rPr/>
              <w:t>​</w:t>
            </w:r>
          </w:p>
        </w:tc>
        <w:tc>
          <w:tcPr>
            <w:tcW w:w="3211" w:type="dxa"/>
            <w:tcBorders/>
            <w:vAlign w:val="center"/>
          </w:tcPr>
          <w:p>
            <w:pPr>
              <w:pStyle w:val="TableContents"/>
              <w:bidi w:val="0"/>
              <w:spacing w:before="0" w:after="0"/>
              <w:ind w:left="0" w:right="0" w:hanging="0"/>
              <w:jc w:val="left"/>
              <w:rPr/>
            </w:pPr>
            <w:r>
              <w:rPr/>
              <w:t>​</w:t>
            </w:r>
          </w:p>
        </w:tc>
      </w:tr>
      <w:tr>
        <w:trPr/>
        <w:tc>
          <w:tcPr>
            <w:tcW w:w="1846"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Date: August 6, 2026</w:t>
            </w:r>
          </w:p>
        </w:tc>
        <w:tc>
          <w:tcPr>
            <w:tcW w:w="3211" w:type="dxa"/>
            <w:tcBorders>
              <w:bottom w:val="single" w:sz="2" w:space="0" w:color="000000"/>
            </w:tcBorders>
            <w:tcMar>
              <w:bottom w:w="28" w:type="dxa"/>
            </w:tcM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/s/ Hyung Heon Kim</w:t>
            </w:r>
          </w:p>
        </w:tc>
      </w:tr>
      <w:tr>
        <w:trPr/>
        <w:tc>
          <w:tcPr>
            <w:tcW w:w="1846" w:type="dxa"/>
            <w:tcBorders/>
            <w:vAlign w:val="center"/>
          </w:tcPr>
          <w:p>
            <w:pPr>
              <w:pStyle w:val="TableContents"/>
              <w:bidi w:val="0"/>
              <w:spacing w:before="0" w:after="0"/>
              <w:ind w:left="0" w:right="0" w:hanging="0"/>
              <w:jc w:val="both"/>
              <w:rPr/>
            </w:pPr>
            <w:r>
              <w:rPr/>
              <w:t>​</w:t>
            </w:r>
          </w:p>
        </w:tc>
        <w:tc>
          <w:tcPr>
            <w:tcW w:w="3211" w:type="dxa"/>
            <w:tcBorders>
              <w:top w:val="single" w:sz="2" w:space="0" w:color="000000"/>
            </w:tcBorders>
            <w:tcMar>
              <w:top w:w="28" w:type="dxa"/>
            </w:tcM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President and Chief Executive Officer</w:t>
            </w:r>
          </w:p>
        </w:tc>
      </w:tr>
      <w:tr>
        <w:trPr/>
        <w:tc>
          <w:tcPr>
            <w:tcW w:w="1846" w:type="dxa"/>
            <w:tcBorders/>
            <w:vAlign w:val="center"/>
          </w:tcPr>
          <w:p>
            <w:pPr>
              <w:pStyle w:val="TableContents"/>
              <w:bidi w:val="0"/>
              <w:spacing w:before="0" w:after="0"/>
              <w:ind w:left="0" w:right="0" w:hanging="0"/>
              <w:jc w:val="both"/>
              <w:rPr/>
            </w:pPr>
            <w:r>
              <w:rPr/>
              <w:t>​</w:t>
            </w:r>
          </w:p>
        </w:tc>
        <w:tc>
          <w:tcPr>
            <w:tcW w:w="321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(Principal Executive Officer)</w:t>
            </w:r>
          </w:p>
        </w:tc>
      </w:tr>
      <w:tr>
        <w:trPr/>
        <w:tc>
          <w:tcPr>
            <w:tcW w:w="1846" w:type="dxa"/>
            <w:tcBorders/>
            <w:vAlign w:val="center"/>
          </w:tcPr>
          <w:p>
            <w:pPr>
              <w:pStyle w:val="TableContents"/>
              <w:bidi w:val="0"/>
              <w:spacing w:before="0" w:after="0"/>
              <w:ind w:left="0" w:right="0" w:hanging="0"/>
              <w:jc w:val="left"/>
              <w:rPr/>
            </w:pPr>
            <w:r>
              <w:rPr/>
              <w:t>​</w:t>
            </w:r>
          </w:p>
        </w:tc>
        <w:tc>
          <w:tcPr>
            <w:tcW w:w="321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right"/>
        <w:rPr>
          <w:rFonts w:ascii="Times New Roman;Times;serif" w:hAnsi="Times New Roman;Times;serif"/>
          <w:sz w:val="20"/>
        </w:rPr>
      </w:pPr>
      <w:bookmarkStart w:id="843" w:name="mtva-20260630xex32d2.htm"/>
      <w:bookmarkStart w:id="844" w:name="ksmtva20260630xex32d2"/>
      <w:bookmarkEnd w:id="843"/>
      <w:bookmarkEnd w:id="844"/>
      <w:r>
        <w:rPr>
          <w:rFonts w:ascii="Times New Roman;Times;serif" w:hAnsi="Times New Roman;Times;serif"/>
          <w:sz w:val="20"/>
        </w:rPr>
        <w:t>Exhibit 32.2</w:t>
      </w:r>
      <w:r>
        <w:br w:type="page"/>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Certification of Chief Financial Officer</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under Section 906 of the Sarbanes-Oxley Act of 2002</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(18 U.S.C. § 1350)</w:t>
      </w:r>
    </w:p>
    <w:p>
      <w:pPr>
        <w:pStyle w:val="TextBody"/>
        <w:bidi w:val="0"/>
        <w:spacing w:lineRule="auto" w:line="290" w:before="0" w:after="0"/>
        <w:ind w:left="0" w:right="362" w:hanging="0"/>
        <w:jc w:val="both"/>
        <w:rPr/>
      </w:pPr>
      <w:r>
        <w:rPr/>
        <w:t>​</w:t>
      </w:r>
    </w:p>
    <w:p>
      <w:pPr>
        <w:pStyle w:val="TextBody"/>
        <w:bidi w:val="0"/>
        <w:spacing w:lineRule="auto" w:line="290" w:before="0" w:after="0"/>
        <w:ind w:left="0" w:right="362" w:hanging="0"/>
        <w:jc w:val="both"/>
        <w:rPr>
          <w:rFonts w:ascii="Times New Roman;Times;serif" w:hAnsi="Times New Roman;Times;serif"/>
          <w:sz w:val="20"/>
        </w:rPr>
      </w:pPr>
      <w:r>
        <w:rPr>
          <w:rFonts w:ascii="Times New Roman;Times;serif" w:hAnsi="Times New Roman;Times;serif"/>
          <w:sz w:val="20"/>
        </w:rPr>
        <w:t>In connection with the quarterly report on Form 10-Q for the quarterly period ended June 30, 2026 of MetaVia Inc. (the “Company”)  as filed with the Securities and Exchange Commission (the “Report”), I, Marshall H. Woodworth, Chief Financial Officer, certify, pursuant to 18 U.S.C. § 1350, as adopted pursuant to § 906 of the Sarbanes-Oxley Act of 2002, that:</w:t>
      </w:r>
    </w:p>
    <w:p>
      <w:pPr>
        <w:pStyle w:val="TextBody"/>
        <w:bidi w:val="0"/>
        <w:spacing w:lineRule="auto" w:line="290" w:before="0" w:after="0"/>
        <w:ind w:left="300" w:right="362" w:firstLine="420"/>
        <w:jc w:val="both"/>
        <w:rPr/>
      </w:pPr>
      <w:r>
        <w:rPr/>
        <w:t>​</w:t>
      </w:r>
    </w:p>
    <w:tbl>
      <w:tblPr>
        <w:tblW w:w="9821" w:type="dxa"/>
        <w:jc w:val="left"/>
        <w:tblInd w:w="0" w:type="dxa"/>
        <w:tblLayout w:type="fixed"/>
        <w:tblCellMar>
          <w:top w:w="0" w:type="dxa"/>
          <w:left w:w="0" w:type="dxa"/>
          <w:bottom w:w="0" w:type="dxa"/>
          <w:right w:w="0" w:type="dxa"/>
        </w:tblCellMar>
      </w:tblPr>
      <w:tblGrid>
        <w:gridCol w:w="23"/>
        <w:gridCol w:w="245"/>
        <w:gridCol w:w="9530"/>
        <w:gridCol w:w="23"/>
      </w:tblGrid>
      <w:tr>
        <w:trPr/>
        <w:tc>
          <w:tcPr>
            <w:tcW w:w="23"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5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Report fully complies with the requirements of Section 13(a) or 15(d) of the Securities Exchange Act of 1934; and</w:t>
            </w:r>
          </w:p>
        </w:tc>
        <w:tc>
          <w:tcPr>
            <w:tcW w:w="23"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90" w:before="0" w:after="0"/>
        <w:ind w:left="720" w:right="362"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235"/>
        <w:gridCol w:w="9923"/>
        <w:gridCol w:w="24"/>
      </w:tblGrid>
      <w:tr>
        <w:trPr/>
        <w:tc>
          <w:tcPr>
            <w:tcW w:w="23"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992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contained in the Report fairly presents, in all material respects, the financial condition and results of operations of the Company.</w:t>
            </w:r>
          </w:p>
        </w:tc>
        <w:tc>
          <w:tcPr>
            <w:tcW w:w="24" w:type="dxa"/>
            <w:tcBorders/>
            <w:vAlign w:val="center"/>
          </w:tcPr>
          <w:p>
            <w:pPr>
              <w:pStyle w:val="TableContents"/>
              <w:bidi w:val="0"/>
              <w:spacing w:before="0" w:after="283"/>
              <w:jc w:val="left"/>
              <w:rPr>
                <w:sz w:val="4"/>
                <w:szCs w:val="4"/>
              </w:rPr>
            </w:pPr>
            <w:r>
              <w:rPr>
                <w:sz w:val="4"/>
                <w:szCs w:val="4"/>
              </w:rPr>
            </w:r>
          </w:p>
        </w:tc>
      </w:tr>
    </w:tbl>
    <w:p>
      <w:pPr>
        <w:pStyle w:val="TextBody"/>
        <w:pBdr/>
        <w:bidi w:val="0"/>
        <w:spacing w:before="0" w:after="0"/>
        <w:ind w:left="720" w:right="0" w:hanging="360"/>
        <w:jc w:val="both"/>
        <w:rPr/>
      </w:pPr>
      <w:r>
        <w:rPr/>
        <w:t>​</w:t>
      </w:r>
    </w:p>
    <w:p>
      <w:pPr>
        <w:pStyle w:val="TextBody"/>
        <w:bidi w:val="0"/>
        <w:spacing w:before="0" w:after="0"/>
        <w:ind w:left="0" w:right="0" w:hanging="0"/>
        <w:jc w:val="both"/>
        <w:rPr/>
      </w:pPr>
      <w:r>
        <w:rPr/>
        <w:t>​</w:t>
      </w:r>
    </w:p>
    <w:tbl>
      <w:tblPr>
        <w:tblW w:w="4262" w:type="dxa"/>
        <w:jc w:val="left"/>
        <w:tblInd w:w="0" w:type="dxa"/>
        <w:tblLayout w:type="fixed"/>
        <w:tblCellMar>
          <w:top w:w="0" w:type="dxa"/>
          <w:left w:w="0" w:type="dxa"/>
          <w:bottom w:w="0" w:type="dxa"/>
          <w:right w:w="0" w:type="dxa"/>
        </w:tblCellMar>
      </w:tblPr>
      <w:tblGrid>
        <w:gridCol w:w="1846"/>
        <w:gridCol w:w="2416"/>
      </w:tblGrid>
      <w:tr>
        <w:trPr/>
        <w:tc>
          <w:tcPr>
            <w:tcW w:w="1846" w:type="dxa"/>
            <w:tcBorders/>
            <w:vAlign w:val="center"/>
          </w:tcPr>
          <w:p>
            <w:pPr>
              <w:pStyle w:val="TableContents"/>
              <w:bidi w:val="0"/>
              <w:spacing w:before="0" w:after="0"/>
              <w:ind w:left="0" w:right="0" w:hanging="0"/>
              <w:jc w:val="left"/>
              <w:rPr/>
            </w:pPr>
            <w:r>
              <w:rPr/>
              <w:t>​</w:t>
            </w:r>
          </w:p>
        </w:tc>
        <w:tc>
          <w:tcPr>
            <w:tcW w:w="2416" w:type="dxa"/>
            <w:tcBorders/>
            <w:vAlign w:val="center"/>
          </w:tcPr>
          <w:p>
            <w:pPr>
              <w:pStyle w:val="TableContents"/>
              <w:bidi w:val="0"/>
              <w:spacing w:before="0" w:after="0"/>
              <w:ind w:left="0" w:right="0" w:hanging="0"/>
              <w:jc w:val="left"/>
              <w:rPr/>
            </w:pPr>
            <w:r>
              <w:rPr/>
              <w:t>​</w:t>
            </w:r>
          </w:p>
        </w:tc>
      </w:tr>
      <w:tr>
        <w:trPr/>
        <w:tc>
          <w:tcPr>
            <w:tcW w:w="1846"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Date: August 6, 2026</w:t>
            </w:r>
          </w:p>
        </w:tc>
        <w:tc>
          <w:tcPr>
            <w:tcW w:w="2416" w:type="dxa"/>
            <w:tcBorders>
              <w:bottom w:val="single" w:sz="2" w:space="0" w:color="000000"/>
            </w:tcBorders>
            <w:tcMar>
              <w:bottom w:w="28" w:type="dxa"/>
            </w:tcM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/s/ Marshall H. Woodworth</w:t>
            </w:r>
          </w:p>
        </w:tc>
      </w:tr>
      <w:tr>
        <w:trPr/>
        <w:tc>
          <w:tcPr>
            <w:tcW w:w="1846" w:type="dxa"/>
            <w:tcBorders/>
            <w:vAlign w:val="center"/>
          </w:tcPr>
          <w:p>
            <w:pPr>
              <w:pStyle w:val="TableContents"/>
              <w:bidi w:val="0"/>
              <w:spacing w:before="0" w:after="0"/>
              <w:ind w:left="0" w:right="0" w:hanging="0"/>
              <w:jc w:val="both"/>
              <w:rPr/>
            </w:pPr>
            <w:r>
              <w:rPr/>
              <w:t>​</w:t>
            </w:r>
          </w:p>
        </w:tc>
        <w:tc>
          <w:tcPr>
            <w:tcW w:w="2416" w:type="dxa"/>
            <w:tcBorders>
              <w:top w:val="single" w:sz="2" w:space="0" w:color="000000"/>
            </w:tcBorders>
            <w:tcMar>
              <w:top w:w="28" w:type="dxa"/>
            </w:tcM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Chief Financial Officer</w:t>
            </w:r>
          </w:p>
        </w:tc>
      </w:tr>
      <w:tr>
        <w:trPr/>
        <w:tc>
          <w:tcPr>
            <w:tcW w:w="1846" w:type="dxa"/>
            <w:tcBorders/>
            <w:vAlign w:val="center"/>
          </w:tcPr>
          <w:p>
            <w:pPr>
              <w:pStyle w:val="TableContents"/>
              <w:bidi w:val="0"/>
              <w:spacing w:before="0" w:after="0"/>
              <w:ind w:left="0" w:right="0" w:hanging="0"/>
              <w:jc w:val="both"/>
              <w:rPr/>
            </w:pPr>
            <w:r>
              <w:rPr/>
              <w:t>​</w:t>
            </w:r>
          </w:p>
        </w:tc>
        <w:tc>
          <w:tcPr>
            <w:tcW w:w="2416"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(Principal Financial Officer)</w:t>
            </w:r>
          </w:p>
        </w:tc>
      </w:tr>
      <w:tr>
        <w:trPr/>
        <w:tc>
          <w:tcPr>
            <w:tcW w:w="1846" w:type="dxa"/>
            <w:tcBorders/>
            <w:vAlign w:val="center"/>
          </w:tcPr>
          <w:p>
            <w:pPr>
              <w:pStyle w:val="TableContents"/>
              <w:bidi w:val="0"/>
              <w:spacing w:before="0" w:after="0"/>
              <w:ind w:left="0" w:right="0" w:hanging="0"/>
              <w:jc w:val="left"/>
              <w:rPr/>
            </w:pPr>
            <w:r>
              <w:rPr/>
              <w:t>​</w:t>
            </w:r>
          </w:p>
        </w:tc>
        <w:tc>
          <w:tcPr>
            <w:tcW w:w="2416"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revert-layer">
    <w:charset w:val="01"/>
    <w:family w:val="auto"/>
    <w:pitch w:val="default"/>
  </w:font>
  <w:font w:name="Helvetica">
    <w:altName w:val="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Archives/edgar/data/1638287/000110465916138639/a16-16524_1ex3d1.htm" TargetMode="External"/><Relationship Id="rId4" Type="http://schemas.openxmlformats.org/officeDocument/2006/relationships/hyperlink" Target="https://www.sec.gov/Archives/edgar/data/1638287/000110465919076916/a19-28294_1ex3d1.htm" TargetMode="External"/><Relationship Id="rId5" Type="http://schemas.openxmlformats.org/officeDocument/2006/relationships/hyperlink" Target="https://www.sec.gov/Archives/edgar/data/1638287/000110465919076916/a19-28294_1ex3d2.htm" TargetMode="External"/><Relationship Id="rId6" Type="http://schemas.openxmlformats.org/officeDocument/2006/relationships/hyperlink" Target="https://www.sec.gov/Archives/edgar/data/1638287/000155837022014321/nrbo-20220912xex3d1.htm" TargetMode="External"/><Relationship Id="rId7" Type="http://schemas.openxmlformats.org/officeDocument/2006/relationships/hyperlink" Target="https://www.sec.gov/Archives/edgar/data/1638287/000155837023019894/nrbo-20231219xex3d1.htm" TargetMode="External"/><Relationship Id="rId8" Type="http://schemas.openxmlformats.org/officeDocument/2006/relationships/hyperlink" Target="https://www.sec.gov/Archives/edgar/data/1638287/000155837024015839/nrbo-20241115xex3d1.htm" TargetMode="External"/><Relationship Id="rId9" Type="http://schemas.openxmlformats.org/officeDocument/2006/relationships/hyperlink" Target="https://www.sec.gov/Archives/edgar/data/1638287/000110465925117540/mtva-20251202xex3d1.htm" TargetMode="External"/><Relationship Id="rId10" Type="http://schemas.openxmlformats.org/officeDocument/2006/relationships/hyperlink" Target="https://www.sec.gov/Archives/edgar/data/1638287/000155837024015839/nrbo-20241115xex3d2.htm" TargetMode="External"/><Relationship Id="rId11" Type="http://schemas.openxmlformats.org/officeDocument/2006/relationships/hyperlink" Target="https://www.sec.gov/Archives/edgar/data/1638287/000110465926071358/tm2615356d2_ex10-1.htm" TargetMode="External"/><Relationship Id="rId12" Type="http://schemas.openxmlformats.org/officeDocument/2006/relationships/fontTable" Target="fontTable.xml"/><Relationship Id="rId1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18229</Words>
  <Characters>97183</Characters>
  <CharactersWithSpaces>117009</CharactersWithSpaces>
  <Paragraphs>3808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