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211-2_4seq1.xml.htm"/>
      <w:bookmarkStart w:id="1" w:name="kstm2627211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Browne Sarah Kaplan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METAVIA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 CONCORD AVENUE,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MetaVia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53,000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issued to the Reporting Person under the Issuer's Amended and Restated 2022 Equity Incentive Plan, which vests as to 50% on each of the first and second anniversaries of the date of grant, subject to the Reporting Person's continuing service on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Phillip Torrence,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8844" TargetMode="External"/><Relationship Id="rId5" Type="http://schemas.openxmlformats.org/officeDocument/2006/relationships/hyperlink" Target="http://www.sec.gov/cgi-bin/browse-edgar?action=getcompany&amp;CIK=00016382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3359</Characters>
  <CharactersWithSpaces>3913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