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0006d1_8k.htm"/>
      <w:bookmarkStart w:id="1" w:name="kstm2620006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bidi w:val="0"/>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w:t>
      </w:r>
      <w:bookmarkStart w:id="2" w:name="xdx_90F_edei--DocumentType_c20260709__20"/>
      <w:bookmarkEnd w:id="2"/>
      <w:r>
        <w:rPr>
          <w:rFonts w:ascii="Times New Roman" w:hAnsi="Times New Roman"/>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Pursuant to Section 13 or 15(d) of the Securities Exchange Act of 1934</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Date of Report (Date of earliest event reported): </w:t>
      </w:r>
      <w:bookmarkStart w:id="3" w:name="xdx_90D_edei--DocumentPeriodEndDate_c202"/>
      <w:bookmarkEnd w:id="3"/>
      <w:r>
        <w:rPr>
          <w:rFonts w:ascii="Times New Roman" w:hAnsi="Times New Roman"/>
          <w:b/>
          <w:i w:val="false"/>
          <w:caps w:val="false"/>
          <w:smallCaps w:val="false"/>
          <w:sz w:val="20"/>
        </w:rPr>
        <w:t>July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77010" cy="26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7010" cy="2698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32"/>
        </w:rPr>
      </w:pPr>
      <w:bookmarkStart w:id="4" w:name="xdx_904_edei--EntityRegistrantName_dxL_c"/>
      <w:bookmarkEnd w:id="4"/>
      <w:r>
        <w:rPr>
          <w:rFonts w:ascii="Times New Roman;Times;Serif" w:hAnsi="Times New Roman;Times;Serif"/>
          <w:b/>
          <w:i w:val="false"/>
          <w:smallCaps/>
          <w:sz w:val="32"/>
        </w:rPr>
        <w:t>Metavia inc.</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3215"/>
        <w:gridCol w:w="1100"/>
        <w:gridCol w:w="153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709"/>
            <w:bookmarkEnd w:id="6"/>
            <w:r>
              <w:rPr>
                <w:rFonts w:ascii="Times New Roman;Times;Serif" w:hAnsi="Times New Roman;Times;Serif"/>
                <w:b/>
                <w:sz w:val="20"/>
              </w:rPr>
              <w:t>001-37809</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47-2389984</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100" w:type="dxa"/>
            <w:tcBorders/>
            <w:vAlign w:val="center"/>
          </w:tcPr>
          <w:p>
            <w:pPr>
              <w:pStyle w:val="TableContents"/>
              <w:bidi w:val="0"/>
              <w:spacing w:before="0" w:after="283"/>
              <w:jc w:val="center"/>
              <w:rPr/>
            </w:pPr>
            <w:r>
              <w:rPr>
                <w:rFonts w:ascii="Times New Roman;Times;Serif" w:hAnsi="Times New Roman;Times;Serif"/>
                <w:sz w:val="20"/>
              </w:rPr>
              <w:t>(Commission</w:t>
            </w:r>
            <w:r>
              <w:rPr>
                <w:rFonts w:ascii="Times New Roman;Times;Serif" w:hAnsi="Times New Roman;Times;Serif"/>
              </w:rPr>
              <w:br/>
            </w:r>
            <w:r>
              <w:rPr>
                <w:rFonts w:ascii="Times New Roman;Times;Serif" w:hAnsi="Times New Roman;Times;Serif"/>
                <w:sz w:val="20"/>
              </w:rPr>
              <w:t>File Number)</w:t>
            </w:r>
          </w:p>
        </w:tc>
        <w:tc>
          <w:tcPr>
            <w:tcW w:w="1535" w:type="dxa"/>
            <w:tcBorders/>
            <w:vAlign w:val="center"/>
          </w:tcPr>
          <w:p>
            <w:pPr>
              <w:pStyle w:val="TableContents"/>
              <w:bidi w:val="0"/>
              <w:spacing w:before="0" w:after="283"/>
              <w:jc w:val="center"/>
              <w:rPr/>
            </w:pPr>
            <w:r>
              <w:rPr>
                <w:rFonts w:ascii="Times New Roman;Times;Serif" w:hAnsi="Times New Roman;Times;Serif"/>
                <w:sz w:val="20"/>
              </w:rPr>
              <w:t>(IRS Employer</w:t>
            </w:r>
            <w:r>
              <w:rPr>
                <w:rFonts w:ascii="Times New Roman;Times;Serif" w:hAnsi="Times New Roman;Times;Serif"/>
              </w:rPr>
              <w:br/>
            </w:r>
            <w:r>
              <w:rPr>
                <w:rFonts w:ascii="Times New Roman;Times;Serif" w:hAnsi="Times New Roman;Times;Serif"/>
                <w:sz w:val="20"/>
              </w:rPr>
              <w:t>Identification No.)</w:t>
            </w:r>
          </w:p>
        </w:tc>
      </w:tr>
      <w:tr>
        <w:trPr/>
        <w:tc>
          <w:tcPr>
            <w:tcW w:w="321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545 Concord Avenue, </w:t>
            </w:r>
            <w:bookmarkStart w:id="9" w:name="xdx_907_edei--EntityAddressAddressLine2_"/>
            <w:bookmarkEnd w:id="9"/>
            <w:r>
              <w:rPr>
                <w:rFonts w:ascii="Times New Roman;Times;Serif" w:hAnsi="Times New Roman;Times;Serif"/>
                <w:b/>
                <w:i w:val="false"/>
                <w:caps w:val="false"/>
                <w:smallCaps w:val="false"/>
                <w:sz w:val="20"/>
              </w:rPr>
              <w:t>Suite 210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Cambridge, </w:t>
            </w:r>
            <w:bookmarkStart w:id="11" w:name="xdx_908_edei--EntityAddressStateOrProvin"/>
            <w:bookmarkEnd w:id="11"/>
            <w:r>
              <w:rPr>
                <w:rFonts w:ascii="Times New Roman;Times;Serif" w:hAnsi="Times New Roman;Times;Serif"/>
                <w:b/>
                <w:i w:val="false"/>
                <w:caps w:val="false"/>
                <w:smallCaps w:val="false"/>
                <w:sz w:val="20"/>
              </w:rPr>
              <w:t>Massachusetts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10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2" w:name="xdx_904_edei--EntityAddressPostalZipCode"/>
            <w:bookmarkEnd w:id="12"/>
            <w:r>
              <w:rPr>
                <w:rFonts w:ascii="Times New Roman;Times;Serif" w:hAnsi="Times New Roman;Times;Serif"/>
                <w:b/>
                <w:sz w:val="20"/>
              </w:rPr>
              <w:t>02138</w:t>
            </w:r>
            <w:r>
              <w:rPr>
                <w:rFonts w:ascii="Times New Roman;Times;Serif" w:hAnsi="Times New Roman;Times;Serif"/>
                <w:sz w:val="20"/>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w:t>
      </w:r>
      <w:bookmarkStart w:id="13" w:name="xdx_901_edei--CityAreaCode_c20260709__20"/>
      <w:bookmarkEnd w:id="13"/>
      <w:r>
        <w:rPr>
          <w:rFonts w:ascii="Times New Roman" w:hAnsi="Times New Roman"/>
          <w:b/>
          <w:i w:val="false"/>
          <w:caps w:val="false"/>
          <w:smallCaps w:val="false"/>
          <w:sz w:val="20"/>
        </w:rPr>
        <w:t xml:space="preserve">857) </w:t>
      </w:r>
      <w:bookmarkStart w:id="14" w:name="xdx_90D_edei--LocalPhoneNumber_c20260709"/>
      <w:bookmarkEnd w:id="14"/>
      <w:r>
        <w:rPr>
          <w:rFonts w:ascii="Times New Roman" w:hAnsi="Times New Roman"/>
          <w:b/>
          <w:i w:val="false"/>
          <w:caps w:val="false"/>
          <w:smallCaps w:val="false"/>
          <w:sz w:val="20"/>
        </w:rPr>
        <w:t>702-9600</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2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A_edei--SolicitingMaterial_c202607"/>
            <w:bookmarkEnd w:id="16"/>
            <w:r>
              <w:rPr/>
              <w:t>☐</w:t>
            </w:r>
          </w:p>
        </w:tc>
        <w:tc>
          <w:tcPr>
            <w:tcW w:w="73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720" w:right="0" w:hanging="72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28" w:type="dxa"/>
          <w:right w:w="0" w:type="dxa"/>
        </w:tblCellMar>
      </w:tblPr>
      <w:tblGrid>
        <w:gridCol w:w="3680"/>
        <w:gridCol w:w="60"/>
        <w:gridCol w:w="860"/>
        <w:gridCol w:w="60"/>
        <w:gridCol w:w="3710"/>
      </w:tblGrid>
      <w:tr>
        <w:trPr/>
        <w:tc>
          <w:tcPr>
            <w:tcW w:w="3680" w:type="dxa"/>
            <w:tcBorders>
              <w:bottom w:val="single" w:sz="8" w:space="0" w:color="000000"/>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 w:hAnsi="Times New Roman"/>
                <w:b/>
                <w:sz w:val="20"/>
              </w:rPr>
            </w:pPr>
            <w:bookmarkStart w:id="19" w:name="xdx_908_edei--Security12bTitle_c20260709"/>
            <w:bookmarkEnd w:id="19"/>
            <w:r>
              <w:rPr>
                <w:rFonts w:ascii="Times New Roman" w:hAnsi="Times New Roman"/>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 w:hAnsi="Times New Roman"/>
                <w:b/>
                <w:sz w:val="20"/>
              </w:rPr>
            </w:pPr>
            <w:bookmarkStart w:id="20" w:name="xdx_903_edei--TradingSymbol_c20260709__2"/>
            <w:bookmarkEnd w:id="20"/>
            <w:r>
              <w:rPr>
                <w:rFonts w:ascii="Times New Roman" w:hAnsi="Times New Roman"/>
                <w:b/>
                <w:sz w:val="20"/>
              </w:rPr>
              <w:t>MTVA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 w:hAnsi="Times New Roman"/>
                <w:b/>
                <w:sz w:val="20"/>
              </w:rPr>
            </w:pPr>
            <w:bookmarkStart w:id="21" w:name="xdx_904_edei--SecurityExchangeName_c2026"/>
            <w:bookmarkEnd w:id="21"/>
            <w:r>
              <w:rPr>
                <w:rFonts w:ascii="Times New Roman" w:hAnsi="Times New Roman"/>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serif" w:hAnsi="Times New Roman;serif"/>
          <w:b w:val="false"/>
          <w:i w:val="false"/>
          <w:caps w:val="false"/>
          <w:smallCaps w:val="false"/>
          <w:sz w:val="20"/>
        </w:rPr>
      </w:pPr>
      <w:r>
        <w:rPr>
          <w:rFonts w:ascii="Times New Roman" w:hAnsi="Times New Roman"/>
          <w:b w:val="false"/>
          <w:i w:val="false"/>
          <w:caps w:val="false"/>
          <w:smallCaps w:val="false"/>
          <w:sz w:val="20"/>
        </w:rPr>
        <w:t>Emerging growth company  </w:t>
      </w:r>
      <w:bookmarkStart w:id="22" w:name="xdx_900_edei--EntityEmergingGrowthCompan"/>
      <w:bookmarkEnd w:id="22"/>
      <w:r>
        <w:rPr>
          <w:rFonts w:ascii="Times New Roman;serif" w:hAnsi="Times New Roman;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serif" w:hAnsi="Times New Roman;serif"/>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MetaVia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that all enrolled active patients in Part 3 of its Phase 1 clinical trial evaluating DA-1726 for the treatment of obesity (the “</w:t>
      </w:r>
      <w:r>
        <w:rPr>
          <w:rFonts w:ascii="Times New Roman;Times;Serif" w:hAnsi="Times New Roman;Times;Serif"/>
          <w:b/>
          <w:i/>
          <w:caps w:val="false"/>
          <w:smallCaps w:val="false"/>
          <w:sz w:val="20"/>
        </w:rPr>
        <w:t>Phase 1 Trial”</w:t>
      </w:r>
      <w:r>
        <w:rPr>
          <w:rFonts w:ascii="Times New Roman;Times;Serif" w:hAnsi="Times New Roman;Times;Serif"/>
          <w:b w:val="false"/>
          <w:i w:val="false"/>
          <w:caps w:val="false"/>
          <w:smallCaps w:val="false"/>
          <w:sz w:val="20"/>
        </w:rPr>
        <w:t>) have successfully completed dose titration and are now receiving their highest target doses in both study cohorts, and that topline data from the Phase 1 Trial is on track to be released in the fourth quarter of 2026. A copy of the press release is attached as Exhibit 99.1 to this Current Report on Form 8-K (this “</w:t>
      </w:r>
      <w:r>
        <w:rPr>
          <w:rFonts w:ascii="Times New Roman;Times;Serif" w:hAnsi="Times New Roman;Times;Serif"/>
          <w:b/>
          <w:i/>
          <w:caps w:val="false"/>
          <w:smallCaps w:val="false"/>
          <w:sz w:val="20"/>
        </w:rPr>
        <w:t>Report”</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Report, including Exhibit 99.1 attached hereto, is furnished and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provided an update on its ongoing Part 3 of its Phase 1 clinical trial evaluating DA-1726 for the treatment of obesity, reporting that all enrolled active patients in the trial have successfully completed dose titration and are now receiving their highest target doses of 48 mg and 64 mg in both study cohorts. The Company is still planning to release the data readout for Part 3 of its Phase 1 clinical trial evaluating DA-1726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Exhibit 99.1 attached hereto, contains forward-looking statements within the meaning of the federal securities laws. These forward-looking statements are based on current expectations and are not guarantees of future performance. Further, the forward-looking statements are subject to the limitations listed in Exhibit 99.1 and in the other reports that the Company has filed with the Securities and Exchange Commission, including that actual events or results may differ materially from those in the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80"/>
        <w:gridCol w:w="60"/>
        <w:gridCol w:w="6230"/>
      </w:tblGrid>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r>
      <w:tr>
        <w:trPr/>
        <w:tc>
          <w:tcPr>
            <w:tcW w:w="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Number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Description</w:t>
            </w:r>
          </w:p>
        </w:tc>
      </w:tr>
      <w:tr>
        <w:trPr/>
        <w:tc>
          <w:tcPr>
            <w:tcW w:w="680" w:type="dxa"/>
            <w:tcBorders/>
            <w:vAlign w:val="center"/>
          </w:tcPr>
          <w:p>
            <w:pPr>
              <w:pStyle w:val="TableContents"/>
              <w:bidi w:val="0"/>
              <w:spacing w:before="0" w:after="283"/>
              <w:jc w:val="left"/>
              <w:rPr/>
            </w:pPr>
            <w:hyperlink w:anchor="tm262000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hyperlink w:anchor="tm2620006d1_ex99-1.htm">
              <w:r>
                <w:rPr>
                  <w:rStyle w:val="InternetLink"/>
                  <w:rFonts w:ascii="Times New Roman;Times;Serif" w:hAnsi="Times New Roman;Times;Serif"/>
                  <w:sz w:val="20"/>
                </w:rPr>
                <w:t>Press Release dated July 9, 2026.</w:t>
              </w:r>
            </w:hyperlink>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520"/>
        <w:gridCol w:w="320"/>
        <w:gridCol w:w="3095"/>
      </w:tblGrid>
      <w:tr>
        <w:trPr/>
        <w:tc>
          <w:tcPr>
            <w:tcW w:w="152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MetaVia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Hyung Heon Kim</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Hyung Heon Kim</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23" w:name="tm2620006d1_ex99-1.htm"/>
      <w:bookmarkStart w:id="24" w:name="kstm2620006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313182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31820" cy="571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MetaVia Announces Completion of Dose Titration in Phase 1 Part 3 Study of DA-1726 for the Treatment of Obesity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Active Patients in Both Cohorts Have Successfully Reached Highest Target Doses of 48 mg and 64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Topline Data Remains on Track for Fourth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CAMBRIDGE, Mass., July 9, 2026 – MetaVia Inc. </w:t>
      </w:r>
      <w:r>
        <w:rPr>
          <w:rFonts w:ascii="Times New Roman;Times;Serif" w:hAnsi="Times New Roman;Times;Serif"/>
          <w:b w:val="false"/>
          <w:i w:val="false"/>
          <w:caps w:val="false"/>
          <w:smallCaps w:val="false"/>
          <w:sz w:val="20"/>
        </w:rPr>
        <w:t>(Nasdaq: MTVA), a clinical-stage biotechnology company focused on transforming cardiometabolic diseases, today announced that all enrolled active patients in Part 3 of its Phase 1 clinical trial evaluating DA-1726 for the treatment of obesity have successfully completed dose titration and are now receiving their highest target doses in both study cohorts. DA-1726 is a novel oxyntomodulin (OXM) analog targeting both GLP-1 (GLP1R) and glucagon (GCGR) receptors. Part 3 of the Phase 1 program consists of two 16-week titration cohorts designed to evaluate one-step and two-step dose-escalation strategies to safely achieve higher target doses and further optimize tolerability. In Part 3A, patients titrated from 16 mg to 48 mg, while in Part 3B, patients titrated from 16 mg to 32 mg and subsequently to 64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successful completion of dose titration across both Part 3 cohorts represents an important milestone for the DA-1726 development program,” stated Hyung Heon Kim, President and Chief Executive Officer of MetaVia. “Reaching our highest planned dose levels in all active patients reinforces the favorable tolerability profile of DA-1726. We believe our efficient titration strategy could represent a meaningful competitive advantage over currently marketed obesity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 continued, “The robust data from our previously reported Phase 1 MAD study, including 9.1% mean weight loss achieved at the 48 mg dose in just 8 weeks of treatment, meaningful reductions in waist circumference, improved glycemic measures, and early signs of direct liver benefit, continue to demonstrate the differentiated potential of our dual GLP-1/glucagon mechanism. With all patients now on their target doses, we remain focused on completing treatment and reporting topline data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1 Part 3 trial has a planned enrollment of approximately 40 obese, otherwise healthy adult subjects, across two parts, with approximately 20 subjects per part, randomized 4:1 (16 active; 4 placebo). Part 3A is designed to evaluate a one-step titration regimen with 16 mg for 4 weeks followed by 48 mg for 12 weeks, while Part 3B will evaluate a two-step titration regimen with 16 mg for 4 weeks, 32 mg for 4 weeks, and 64 mg for 8 weeks. The study will assess safety, tolerability, pharmacokinetics (PK), and pharmacodynamics (PD) of DA-1726. Primary endpoints include monitoring adverse events (AEs), serious adverse events (SAEs), treatment-emergent adverse events (TEAEs), and AEs leading to treatment discontinuation. Secondary and exploratory endpoints include PK profiling and evaluation of metabolic, glycemic, lipid, and body composition measures, including weight, waist circumference, and body mass index (BMI), and other cardiometabolic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this clinical trial, please visit: </w:t>
      </w:r>
      <w:r>
        <w:rPr>
          <w:rFonts w:ascii="Times New Roman;Times;Serif" w:hAnsi="Times New Roman;Times;Serif"/>
          <w:b w:val="false"/>
          <w:i w:val="false"/>
          <w:caps w:val="false"/>
          <w:smallCaps w:val="false"/>
          <w:sz w:val="20"/>
          <w:u w:val="single"/>
        </w:rPr>
        <w:t>www.clinicaltrials.gov</w:t>
      </w:r>
      <w:r>
        <w:rPr>
          <w:rFonts w:ascii="Times New Roman;Times;Serif" w:hAnsi="Times New Roman;Times;Serif"/>
          <w:b w:val="false"/>
          <w:i w:val="false"/>
          <w:caps w:val="false"/>
          <w:smallCaps w:val="false"/>
          <w:sz w:val="20"/>
        </w:rPr>
        <w:t xml:space="preserve"> NCT06252220.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DA-1726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DA-1726 is a novel GLP1R/GCGR dual agonist for the treatment of obesity and Metabolic Dysfunction-Associated Steatohepatitis (MASH) that is to be administered once weekly subcutaneously. DA-1726 acts as a dual agonist of GLP-1 receptors (GLP1R) and glucagon receptors (GCGR), leading to weight loss through reduced appetite and increased energy expenditure. DA-1726 has a well understood mechanism and, in preclinical mice models, resulted in improved weight loss compared to semaglutide (Wegovy®), a leading GLP-1 receptor agonist. Additionally, in preclinical mouse models, DA-1726 elicited similar weight reduction, while consuming more food, compared to tirzepatide (Zepbound®) and survodutide (a drug with the same MOA), while also preserving lean body mass and demonstrating improved lipid-lowering effects compared to survodutide. In the Phase 1 multiple ascending dose (MAD) trial in obesity, the 32 mg dose of DA-1726 demonstrated best-in-class potential for weight loss, glucose control, and waist circumference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MetaVia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 glucagon receptor (GCGR) dual agonist. OXM is a naturally-occurring gut hormone that activates GLP1R and GCGR, thereby decreasing food intake while increasing energy expenditure, thus potentially resulting in superior body weight loss compared to selective GLP-1 receptor agonists such as semaglutide. In a Phase 1 multiple ascending dose (MAD) trial in obesity, DA-1726 demonstrated best-in-class potential for weight loss, glucose control, and waist reduction. Vanoglipel is a potential first-in-class drug candidate targeting G-protein-coupled receptor 119 (GPR119). In preclinical studies, vanoglipel demonstrated a positive metabolic effect on glucose and lipid control, and also proved differentiated hepatic benefits reducing hepatic steatosis, hepatic inflammation, and liver fibrosis regardless independent of metabolic improvement. In a Phase 2a clinical study, vanoglipel demonstrated direct hepatic action in addition to its glucose lowering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www.metaviatx.com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MetaVia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Marshall H. Woodworth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+1-857-299-1033</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marshall.woodworth@metaviatx.com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Rx Communications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Miller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+1-917-633-6086</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mmiller@rxir.com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2048</Words>
  <Characters>11836</Characters>
  <CharactersWithSpaces>13888</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