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2173605</wp:posOffset>
            </wp:positionH>
            <wp:positionV relativeFrom="paragraph">
              <wp:posOffset>141605</wp:posOffset>
            </wp:positionV>
            <wp:extent cx="276860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860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w:t>
      </w:r>
      <w:r>
        <w:rPr>
          <w:rFonts w:ascii="Times New Roman" w:cs="Times New Roman" w:eastAsia="Times New Roman" w:hAnsi="Times New Roman"/>
          <w:sz w:val="20"/>
          <w:szCs w:val="20"/>
          <w:b w:val="1"/>
          <w:bCs w:val="1"/>
          <w:color w:val="auto"/>
        </w:rPr>
        <w:t>etavia inc</w:t>
      </w:r>
      <w:r>
        <w:rPr>
          <w:rFonts w:ascii="Times New Roman" w:cs="Times New Roman" w:eastAsia="Times New Roman" w:hAnsi="Times New Roman"/>
          <w:sz w:val="29"/>
          <w:szCs w:val="29"/>
          <w:b w:val="1"/>
          <w:bCs w:val="1"/>
          <w:color w:val="auto"/>
        </w:rPr>
        <w: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3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001-37809</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47-2389984</w:t>
            </w:r>
          </w:p>
        </w:tc>
      </w:tr>
      <w:tr>
        <w:trPr>
          <w:trHeight w:val="216"/>
        </w:trPr>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(Commission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6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File Number)</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545 Concord Avenue, Suite 210</w:t>
            </w:r>
          </w:p>
        </w:tc>
        <w:tc>
          <w:tcPr>
            <w:tcW w:w="46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0"/>
        </w:trPr>
        <w:tc>
          <w:tcPr>
            <w:tcW w:w="3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620" w:type="dxa"/>
            <w:vAlign w:val="bottom"/>
          </w:tcPr>
          <w:p>
            <w:pPr>
              <w:spacing w:after="0"/>
              <w:rPr>
                <w:sz w:val="19"/>
                <w:szCs w:val="19"/>
                <w:color w:val="auto"/>
              </w:rPr>
            </w:pPr>
          </w:p>
        </w:tc>
        <w:tc>
          <w:tcPr>
            <w:tcW w:w="1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02138</w:t>
            </w:r>
          </w:p>
        </w:tc>
      </w:tr>
      <w:tr>
        <w:trPr>
          <w:trHeight w:val="234"/>
        </w:trPr>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2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3060" w:type="dxa"/>
            <w:vAlign w:val="bottom"/>
          </w:tcPr>
          <w:p>
            <w:pPr>
              <w:spacing w:after="0"/>
              <w:rPr>
                <w:sz w:val="24"/>
                <w:szCs w:val="24"/>
                <w:color w:val="auto"/>
              </w:rPr>
            </w:pPr>
          </w:p>
        </w:tc>
        <w:tc>
          <w:tcPr>
            <w:tcW w:w="46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(857) 702-9600</w:t>
            </w:r>
          </w:p>
        </w:tc>
        <w:tc>
          <w:tcPr>
            <w:tcW w:w="1940" w:type="dxa"/>
            <w:vAlign w:val="bottom"/>
          </w:tcPr>
          <w:p>
            <w:pPr>
              <w:spacing w:after="0"/>
              <w:rPr>
                <w:sz w:val="24"/>
                <w:szCs w:val="24"/>
                <w:color w:val="auto"/>
              </w:rPr>
            </w:pPr>
          </w:p>
        </w:tc>
      </w:tr>
      <w:tr>
        <w:trPr>
          <w:trHeight w:val="234"/>
        </w:trPr>
        <w:tc>
          <w:tcPr>
            <w:tcW w:w="3060" w:type="dxa"/>
            <w:vAlign w:val="bottom"/>
          </w:tcPr>
          <w:p>
            <w:pPr>
              <w:spacing w:after="0"/>
              <w:rPr>
                <w:sz w:val="20"/>
                <w:szCs w:val="20"/>
                <w:color w:val="auto"/>
              </w:rPr>
            </w:pPr>
          </w:p>
        </w:tc>
        <w:tc>
          <w:tcPr>
            <w:tcW w:w="46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spacing w:after="0"/>
              <w:rPr>
                <w:sz w:val="24"/>
                <w:szCs w:val="24"/>
                <w:color w:val="auto"/>
              </w:rPr>
            </w:pPr>
          </w:p>
        </w:tc>
      </w:t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MTVA</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6, 2025, MetaVia Inc. (the “Company”) entered into an At The Market Offering Agreement (the “Sales Agreement”) with Ladenburg Thalmann &amp; Co. Inc., as sales agent and/or principal (“Ladenburg”), pursuant to which the Company may offer and sell, from time to time through or to Ladenburg, shares of the Company’s common stock, par value $0.001, by any method permitted by law deemed to be an “at the market offering” as defined in Rule 415(a)(4) of the U.S. Securities Act of 1933, as amended. On July 2, 2026, the Company filed a prospectus supplement with the Securities and Exchange Commission for the offer and sale of up to $4,000,000 of shares of common stock pursuant to the Sales Agreement (the “Prospectus Supplement”).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Honigman LLP, counsel to the Company, has issued an opinion regarding the validity of the shares of common stock to be issued and sold pursuant to the Sales Agreement and the Prospectus Supplement. A copy of the opinion is filed as Exhibit 5.1 to this Current Report on Form 8-K.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680" w:type="dxa"/>
            <w:vAlign w:val="bottom"/>
          </w:tcPr>
          <w:p>
            <w:pPr>
              <w:spacing w:after="0"/>
              <w:rPr>
                <w:sz w:val="20"/>
                <w:szCs w:val="20"/>
                <w:color w:val="auto"/>
              </w:rPr>
            </w:pPr>
          </w:p>
        </w:tc>
      </w:tr>
      <w:tr>
        <w:trPr>
          <w:trHeight w:val="41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234"/>
        </w:trPr>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99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169"/>
        </w:trPr>
        <w:tc>
          <w:tcPr>
            <w:tcW w:w="2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Opinion of Honigman LLP.</w:t>
            </w: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r>
        <w:trPr>
          <w:trHeight w:val="657"/>
        </w:trPr>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eta</w:t>
            </w: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ia</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nc</w:t>
            </w:r>
            <w:r>
              <w:rPr>
                <w:rFonts w:ascii="Times New Roman" w:cs="Times New Roman" w:eastAsia="Times New Roman" w:hAnsi="Times New Roman"/>
                <w:sz w:val="18"/>
                <w:szCs w:val="18"/>
                <w:color w:val="auto"/>
              </w:rPr>
              <w:t>.</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2, 2026</w:t>
            </w: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Hyung Heon Kim</w:t>
            </w:r>
          </w:p>
        </w:tc>
      </w:tr>
      <w:tr>
        <w:trPr>
          <w:trHeight w:val="191"/>
        </w:trPr>
        <w:tc>
          <w:tcPr>
            <w:tcW w:w="34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Hyung Heon Kim</w:t>
            </w:r>
          </w:p>
        </w:tc>
      </w:tr>
      <w:tr>
        <w:trPr>
          <w:trHeight w:val="234"/>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4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543050"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0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MetaVia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545 Concord Avenue,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Massachusetts 02138</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i w:val="1"/>
          <w:iCs w:val="1"/>
          <w:color w:val="auto"/>
        </w:rPr>
        <w:t>Re:</w:t>
      </w:r>
      <w:r>
        <w:rPr>
          <w:sz w:val="20"/>
          <w:szCs w:val="20"/>
          <w:color w:val="auto"/>
        </w:rPr>
        <w:tab/>
      </w:r>
      <w:r>
        <w:rPr>
          <w:rFonts w:ascii="Times New Roman" w:cs="Times New Roman" w:eastAsia="Times New Roman" w:hAnsi="Times New Roman"/>
          <w:sz w:val="18"/>
          <w:szCs w:val="18"/>
          <w:b w:val="1"/>
          <w:bCs w:val="1"/>
          <w:i w:val="1"/>
          <w:iCs w:val="1"/>
          <w:color w:val="auto"/>
        </w:rPr>
        <w:t>Prospectus Supplement to Registration Statement on Form S-3 (File No. 333-278646)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have acted as special counsel to MetaVia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in connection with the sale by the Company through Ladenburg Thalmann &amp; Co. Inc., as the sales agent (the </w:t>
      </w:r>
      <w:r>
        <w:rPr>
          <w:rFonts w:ascii="Times New Roman" w:cs="Times New Roman" w:eastAsia="Times New Roman" w:hAnsi="Times New Roman"/>
          <w:sz w:val="18"/>
          <w:szCs w:val="18"/>
          <w:b w:val="1"/>
          <w:bCs w:val="1"/>
          <w:i w:val="1"/>
          <w:iCs w:val="1"/>
          <w:color w:val="auto"/>
        </w:rPr>
        <w:t>“Sales Agent”</w:t>
      </w:r>
      <w:r>
        <w:rPr>
          <w:rFonts w:ascii="Times New Roman" w:cs="Times New Roman" w:eastAsia="Times New Roman" w:hAnsi="Times New Roman"/>
          <w:sz w:val="18"/>
          <w:szCs w:val="18"/>
          <w:color w:val="auto"/>
        </w:rPr>
        <w:t xml:space="preserve">), from time to time of up to $4,000,000 of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xml:space="preserve">) of the Company’s common stock, par value $0.001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(i) a registration statement on Form S-3 (File No. 333-278646)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xml:space="preserve">”),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on April 12, 2024 (as so filed and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(ii) the base prospectus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xml:space="preserve">), (iii) the prospectus supplement dated as of November 6, 2025 (the </w:t>
      </w:r>
      <w:r>
        <w:rPr>
          <w:rFonts w:ascii="Times New Roman" w:cs="Times New Roman" w:eastAsia="Times New Roman" w:hAnsi="Times New Roman"/>
          <w:sz w:val="18"/>
          <w:szCs w:val="18"/>
          <w:b w:val="1"/>
          <w:bCs w:val="1"/>
          <w:i w:val="1"/>
          <w:iCs w:val="1"/>
          <w:color w:val="auto"/>
        </w:rPr>
        <w:t>“Initial ATM Prospectus Supplement”</w:t>
      </w:r>
      <w:r>
        <w:rPr>
          <w:rFonts w:ascii="Times New Roman" w:cs="Times New Roman" w:eastAsia="Times New Roman" w:hAnsi="Times New Roman"/>
          <w:sz w:val="18"/>
          <w:szCs w:val="18"/>
          <w:color w:val="auto"/>
        </w:rPr>
        <w:t xml:space="preserve">), (iv) the prospectus supplement dated as of July 2, 2026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Initial ATM Prospectus Supplement and any further supplements or amendments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thereto,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and (v) that certain At The Market Offering Agreement, dated as of November 6, 2025, by and between the Company and the Sales Agent (the </w:t>
      </w:r>
      <w:r>
        <w:rPr>
          <w:rFonts w:ascii="Times New Roman" w:cs="Times New Roman" w:eastAsia="Times New Roman" w:hAnsi="Times New Roman"/>
          <w:sz w:val="18"/>
          <w:szCs w:val="18"/>
          <w:b w:val="1"/>
          <w:bCs w:val="1"/>
          <w:i w:val="1"/>
          <w:iCs w:val="1"/>
          <w:color w:val="auto"/>
        </w:rPr>
        <w:t>“Sales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so acting, we have considered such matters of law and of fact, and relied upon, without independent investigation, such documents, records, certificates and other information furnished to us as we have deemed appropriate as a basis for our opinions set forth below. In conducting such review, we have assumed, without independent investigation, the genuineness and authenticity of all signatures on original documents, the legal capacity of all natural persons or entities (other than the Company), the authenticity and completeness of all documents submitted to us as originals, the conformity to authentic original documents of all documents submitted to us as copies, and the accuracy of all statements in certificates of public officials and officers of the Company that we reviewed. In rendering these opinions, we have assumed that the Shares will be offered in the manner and on the terms identified or referred to in the Registration Statement, the Prospectus, and the Sales Agreement.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law covered by the opinions expressed in this opinion letter is limited to the General Corporation Law of the State of Delaware as currently in effect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We express no opinion as to any other laws.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foregoing and upon our examination of such documents and other matters as we deem relevant, we are of the opinion that the Shares have been duly authorized by the Company and, when issued, sold, and delivered by the Company in accordance with, and as described in the Registration Statement and the Prospectus and in the manner set forth in the Sales Agreement, against payment therefor in excess of par value,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Honigman LLP • 650 Trade Centre Way Suite 200 • Kalamazoo, MI 49002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43050" cy="240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43050" cy="2400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MetaVia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rendering the foregoing opinions, we have assumed that (i) the Company will comply with all applicable notice requirements regarding uncertificated shares provided in the DGCL, (ii) upon the issuance of any of the Shares, the total number of shares of Common Stock issued and outstanding will not exceed the total number of shares of Common Stock that the Company is then authorized to issue under the Company’s Third Amended and Restated Certificate of Incorporation, as amended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and (iii) certain terms of the Shares to be issued by the Company from time to time will be authorized and approved by the board of directors of the Company or one or more committees or delegees thereof established by the board of directors of the Company with the authority to issue and sell Shares pursuant to the Sales Agreement in accordance with the DGCL, the Certificate of Incorporation, the bylaws of the Company and certain resolutions of the board of directors of the Company and one or more committees thereof prior to issuance thereof.</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letter with the Commission as </w:t>
      </w:r>
      <w:r>
        <w:rPr>
          <w:rFonts w:ascii="Times New Roman" w:cs="Times New Roman" w:eastAsia="Times New Roman" w:hAnsi="Times New Roman"/>
          <w:sz w:val="18"/>
          <w:szCs w:val="18"/>
          <w:u w:val="single" w:color="auto"/>
          <w:color w:val="auto"/>
        </w:rPr>
        <w:t>Exhibit 5.1</w:t>
      </w:r>
      <w:r>
        <w:rPr>
          <w:rFonts w:ascii="Times New Roman" w:cs="Times New Roman" w:eastAsia="Times New Roman" w:hAnsi="Times New Roman"/>
          <w:sz w:val="18"/>
          <w:szCs w:val="18"/>
          <w:color w:val="auto"/>
        </w:rPr>
        <w:t xml:space="preserve"> to the Company’s Current Report on Form 8-K, which is incorporated by reference in the Registration Statement, and to the reference to our firm under the caption “Legal Matters” in the Registration Statement and the Prospectus. In giving such consent, we do not admit that we are within the category of persons whose consent is required by Section 7 of the Act or the rules and regulations promulgated thereunder by the Commission. The opinions in this opinion letter are expressed as of the date hereof, and we disclaim any undertaking to advise you of any subsequent changes in the facts stated or assumed herein or of any subsequent changes in applicable law.</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Honigman LLP</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Honigman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Honigman LLP • 650 Trade Centre Way Suite 200 • Kalamazoo, MI 49002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2026-07-02T15:16:30Z</dcterms:created>
  <dcterms:modified xsi:type="dcterms:W3CDTF">2026-07-02T15:16:30Z</dcterms:modified>
</cp:coreProperties>
</file>